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EA4E" w14:textId="2BAE5DAC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 WG2 #11</w:t>
      </w:r>
      <w:r w:rsidR="00A667C2">
        <w:rPr>
          <w:rFonts w:eastAsia="Times New Roman"/>
          <w:bCs/>
          <w:sz w:val="24"/>
          <w:szCs w:val="24"/>
          <w:lang w:eastAsia="ja-JP"/>
        </w:rPr>
        <w:t>9</w:t>
      </w:r>
      <w:r w:rsidR="0034037D">
        <w:rPr>
          <w:rFonts w:eastAsia="Times New Roman"/>
          <w:bCs/>
          <w:sz w:val="24"/>
          <w:szCs w:val="24"/>
          <w:lang w:eastAsia="ja-JP"/>
        </w:rPr>
        <w:t>bis-</w:t>
      </w:r>
      <w:r w:rsidR="00A667C2">
        <w:rPr>
          <w:rFonts w:eastAsia="Times New Roman"/>
          <w:bCs/>
          <w:sz w:val="24"/>
          <w:szCs w:val="24"/>
          <w:lang w:eastAsia="ja-JP"/>
        </w:rPr>
        <w:t>e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AF560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66651E">
        <w:rPr>
          <w:rFonts w:eastAsia="Times New Roman"/>
          <w:bCs/>
          <w:sz w:val="24"/>
          <w:szCs w:val="24"/>
          <w:lang w:eastAsia="ja-JP"/>
        </w:rPr>
        <w:t xml:space="preserve">       </w:t>
      </w:r>
      <w:r w:rsidR="00540E57" w:rsidRPr="00540E57">
        <w:t xml:space="preserve"> </w:t>
      </w:r>
      <w:r w:rsidR="00540E57" w:rsidRPr="00540E57">
        <w:rPr>
          <w:rFonts w:eastAsia="Times New Roman"/>
          <w:bCs/>
          <w:sz w:val="24"/>
          <w:szCs w:val="24"/>
          <w:lang w:eastAsia="ja-JP"/>
        </w:rPr>
        <w:t>R2-2210516</w:t>
      </w:r>
    </w:p>
    <w:p w14:paraId="4CB31B84" w14:textId="37B222E6" w:rsidR="00E51E9F" w:rsidRPr="00EA23A6" w:rsidRDefault="0034037D" w:rsidP="00D7765D">
      <w:pPr>
        <w:pStyle w:val="3GPPHeader"/>
        <w:spacing w:after="0"/>
        <w:rPr>
          <w:rFonts w:ascii="Arial" w:eastAsia="MS Mincho" w:hAnsi="Arial"/>
          <w:bCs/>
          <w:noProof/>
          <w:szCs w:val="24"/>
          <w:lang w:eastAsia="ja-JP"/>
        </w:rPr>
      </w:pPr>
      <w:r w:rsidRPr="0034037D">
        <w:rPr>
          <w:rFonts w:ascii="Arial" w:eastAsia="Times New Roman" w:hAnsi="Arial"/>
          <w:bCs/>
          <w:noProof/>
          <w:szCs w:val="24"/>
          <w:lang w:eastAsia="ja-JP"/>
        </w:rPr>
        <w:t>eMeeting, 10</w:t>
      </w:r>
      <w:r w:rsidRPr="0034037D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34037D">
        <w:rPr>
          <w:rFonts w:ascii="Arial" w:eastAsia="Times New Roman" w:hAnsi="Arial"/>
          <w:bCs/>
          <w:noProof/>
          <w:szCs w:val="24"/>
          <w:lang w:eastAsia="ja-JP"/>
        </w:rPr>
        <w:t>– 19</w:t>
      </w:r>
      <w:r w:rsidRPr="0034037D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34037D">
        <w:rPr>
          <w:rFonts w:ascii="Arial" w:eastAsia="Times New Roman" w:hAnsi="Arial"/>
          <w:bCs/>
          <w:noProof/>
          <w:szCs w:val="24"/>
          <w:lang w:eastAsia="ja-JP"/>
        </w:rPr>
        <w:t>October, 2022</w:t>
      </w:r>
    </w:p>
    <w:p w14:paraId="632AC43C" w14:textId="77777777" w:rsidR="00FA2EE3" w:rsidRPr="003158DE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51E01056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</w:t>
      </w:r>
      <w:r w:rsidR="00E6161C">
        <w:rPr>
          <w:rFonts w:ascii="Arial" w:hAnsi="Arial" w:cs="Arial"/>
          <w:szCs w:val="24"/>
          <w:lang w:val="sv-SE"/>
        </w:rPr>
        <w:t>8.</w:t>
      </w:r>
      <w:r w:rsidR="004C7AC0">
        <w:rPr>
          <w:rFonts w:ascii="Arial" w:hAnsi="Arial" w:cs="Arial"/>
          <w:szCs w:val="24"/>
          <w:lang w:val="sv-SE"/>
        </w:rPr>
        <w:t>4.3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062963F2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1D3C85">
        <w:rPr>
          <w:b/>
          <w:sz w:val="24"/>
        </w:rPr>
        <w:t xml:space="preserve">Discussion </w:t>
      </w:r>
      <w:r w:rsidR="00FB75EC">
        <w:rPr>
          <w:b/>
          <w:sz w:val="24"/>
        </w:rPr>
        <w:t xml:space="preserve">on selective </w:t>
      </w:r>
      <w:r w:rsidR="002F317B">
        <w:rPr>
          <w:b/>
          <w:sz w:val="24"/>
        </w:rPr>
        <w:t xml:space="preserve">SCG </w:t>
      </w:r>
      <w:r w:rsidR="00FB75EC">
        <w:rPr>
          <w:b/>
          <w:sz w:val="24"/>
        </w:rPr>
        <w:t>activation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796B8C5" w14:textId="5FA8E8BD" w:rsidR="008135C8" w:rsidRDefault="001D3C85" w:rsidP="008135C8">
      <w:pPr>
        <w:pStyle w:val="Doc-text2"/>
        <w:tabs>
          <w:tab w:val="left" w:pos="340"/>
        </w:tabs>
        <w:ind w:left="0" w:firstLine="0"/>
        <w:jc w:val="both"/>
      </w:pPr>
      <w:r>
        <w:t>In this contribution, we discuss</w:t>
      </w:r>
      <w:r w:rsidR="00FB75EC">
        <w:t xml:space="preserve"> </w:t>
      </w:r>
      <w:r w:rsidR="00267264">
        <w:t xml:space="preserve">the following </w:t>
      </w:r>
      <w:r>
        <w:t>objective #</w:t>
      </w:r>
      <w:r w:rsidR="00FB75EC">
        <w:t>2</w:t>
      </w:r>
      <w:r>
        <w:t xml:space="preserve"> from mobility enhancement work item [1].</w:t>
      </w:r>
    </w:p>
    <w:p w14:paraId="466061D3" w14:textId="1957A18D" w:rsidR="00E6161C" w:rsidRDefault="00E6161C" w:rsidP="008135C8">
      <w:pPr>
        <w:pStyle w:val="Doc-text2"/>
        <w:tabs>
          <w:tab w:val="left" w:pos="340"/>
        </w:tabs>
        <w:ind w:left="0" w:firstLine="0"/>
        <w:jc w:val="both"/>
      </w:pPr>
    </w:p>
    <w:p w14:paraId="3296F192" w14:textId="77777777" w:rsidR="00097FAD" w:rsidRDefault="00097FAD" w:rsidP="00097FA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To specify mechanism and procedures of NR-DC with selective activation of the cell groups (</w:t>
      </w:r>
      <w:r w:rsidRPr="002F317B">
        <w:rPr>
          <w:bCs/>
          <w:lang w:val="en-US"/>
        </w:rPr>
        <w:t>at least for SCG</w:t>
      </w:r>
      <w:r>
        <w:rPr>
          <w:bCs/>
          <w:lang w:val="en-US"/>
        </w:rPr>
        <w:t>) via L3 enhancements:</w:t>
      </w:r>
    </w:p>
    <w:p w14:paraId="63BE434E" w14:textId="77777777" w:rsidR="00097FAD" w:rsidRDefault="00097FAD" w:rsidP="00097FA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To allow </w:t>
      </w:r>
      <w:r w:rsidRPr="002F317B">
        <w:rPr>
          <w:bCs/>
          <w:lang w:val="en-US"/>
        </w:rPr>
        <w:t>subsequent cell group change after changing CG</w:t>
      </w:r>
      <w:r>
        <w:rPr>
          <w:bCs/>
          <w:lang w:val="en-US"/>
        </w:rPr>
        <w:t xml:space="preserve"> without reconfiguration and re-initiation of CPC/CPA [RAN2, RAN3, RAN4]</w:t>
      </w:r>
    </w:p>
    <w:p w14:paraId="1528FC4D" w14:textId="77777777" w:rsidR="00097FAD" w:rsidRPr="00F736B4" w:rsidRDefault="00097FAD" w:rsidP="00097FAD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Note 4: A harmonized</w:t>
      </w:r>
      <w:r w:rsidRPr="00C62537">
        <w:rPr>
          <w:rStyle w:val="Emphasis"/>
        </w:rPr>
        <w:t xml:space="preserve"> RRC modelling </w:t>
      </w:r>
      <w:r w:rsidRPr="00E9536B">
        <w:rPr>
          <w:rStyle w:val="Emphasis"/>
        </w:rPr>
        <w:t>approach for objective</w:t>
      </w:r>
      <w:r w:rsidRPr="00F736B4">
        <w:rPr>
          <w:rStyle w:val="Emphasis"/>
        </w:rPr>
        <w:t>s</w:t>
      </w:r>
      <w:r w:rsidRPr="00C62537">
        <w:rPr>
          <w:rStyle w:val="Emphasis"/>
        </w:rPr>
        <w:t xml:space="preserve"> 1 and 2 could be cons</w:t>
      </w:r>
      <w:r w:rsidRPr="00E9536B">
        <w:rPr>
          <w:rStyle w:val="Emphasis"/>
        </w:rPr>
        <w:t>idered to minimize the work</w:t>
      </w:r>
      <w:r w:rsidRPr="00331F60">
        <w:rPr>
          <w:rStyle w:val="Emphasis"/>
        </w:rPr>
        <w:t xml:space="preserve">load in </w:t>
      </w:r>
      <w:r w:rsidRPr="00B67AE0">
        <w:rPr>
          <w:rStyle w:val="Emphasis"/>
        </w:rPr>
        <w:t>RAN2.</w:t>
      </w:r>
    </w:p>
    <w:p w14:paraId="39A6078A" w14:textId="14108574" w:rsidR="00E6161C" w:rsidRDefault="00E6161C" w:rsidP="008135C8">
      <w:pPr>
        <w:pStyle w:val="Doc-text2"/>
        <w:tabs>
          <w:tab w:val="left" w:pos="340"/>
        </w:tabs>
        <w:ind w:left="0" w:firstLine="0"/>
        <w:jc w:val="both"/>
      </w:pPr>
    </w:p>
    <w:p w14:paraId="58DC7BBF" w14:textId="5E4F8F06" w:rsidR="00A20D1F" w:rsidRDefault="00A20D1F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And in RAN2#119e, </w:t>
      </w:r>
      <w:r w:rsidR="00331259">
        <w:t>RAN2</w:t>
      </w:r>
      <w:r>
        <w:t xml:space="preserve"> ha</w:t>
      </w:r>
      <w:r w:rsidR="00331259">
        <w:t>s</w:t>
      </w:r>
      <w:r>
        <w:t xml:space="preserve"> reached the following agreement for objective#2</w:t>
      </w:r>
    </w:p>
    <w:p w14:paraId="0D39665E" w14:textId="6E18EABA" w:rsidR="00A20D1F" w:rsidRDefault="00A20D1F" w:rsidP="008135C8">
      <w:pPr>
        <w:pStyle w:val="Doc-text2"/>
        <w:tabs>
          <w:tab w:val="left" w:pos="340"/>
        </w:tabs>
        <w:ind w:left="0" w:firstLine="0"/>
        <w:jc w:val="both"/>
      </w:pPr>
    </w:p>
    <w:p w14:paraId="770A73B1" w14:textId="77777777" w:rsidR="00A20D1F" w:rsidRPr="00347BC6" w:rsidRDefault="00A20D1F" w:rsidP="00A20D1F">
      <w:pPr>
        <w:pStyle w:val="Agreement"/>
        <w:numPr>
          <w:ilvl w:val="0"/>
          <w:numId w:val="5"/>
        </w:numPr>
        <w:tabs>
          <w:tab w:val="clear" w:pos="2070"/>
          <w:tab w:val="num" w:pos="1619"/>
        </w:tabs>
        <w:ind w:left="1619"/>
      </w:pPr>
      <w:r w:rsidRPr="00347BC6">
        <w:t xml:space="preserve">The selective activation of cell groups should correspond to support of </w:t>
      </w:r>
      <w:bookmarkStart w:id="2" w:name="_Hlk115205042"/>
      <w:r w:rsidRPr="00347BC6">
        <w:t xml:space="preserve">subsequent </w:t>
      </w:r>
      <w:bookmarkEnd w:id="2"/>
      <w:r w:rsidRPr="00347BC6">
        <w:t xml:space="preserve">conditional changes (CPC) after a cell group change (normal or conditional). </w:t>
      </w:r>
      <w:r w:rsidRPr="00222611">
        <w:rPr>
          <w:highlight w:val="yellow"/>
        </w:rPr>
        <w:t>CPA FFS</w:t>
      </w:r>
      <w:r w:rsidRPr="00347BC6">
        <w:t xml:space="preserve">. </w:t>
      </w:r>
    </w:p>
    <w:p w14:paraId="6705354D" w14:textId="77777777" w:rsidR="00A20D1F" w:rsidRPr="00347BC6" w:rsidRDefault="00A20D1F" w:rsidP="00A20D1F">
      <w:pPr>
        <w:pStyle w:val="Agreement"/>
        <w:numPr>
          <w:ilvl w:val="0"/>
          <w:numId w:val="5"/>
        </w:numPr>
        <w:tabs>
          <w:tab w:val="clear" w:pos="2070"/>
          <w:tab w:val="num" w:pos="1619"/>
        </w:tabs>
        <w:ind w:left="1619"/>
      </w:pPr>
      <w:r w:rsidRPr="00347BC6">
        <w:t>Initial focus on SCG</w:t>
      </w:r>
    </w:p>
    <w:p w14:paraId="4DDAA94F" w14:textId="77777777" w:rsidR="00A20D1F" w:rsidRPr="00347BC6" w:rsidRDefault="00A20D1F" w:rsidP="00A20D1F">
      <w:pPr>
        <w:pStyle w:val="Agreement"/>
        <w:numPr>
          <w:ilvl w:val="0"/>
          <w:numId w:val="5"/>
        </w:numPr>
        <w:tabs>
          <w:tab w:val="clear" w:pos="2070"/>
          <w:tab w:val="num" w:pos="1619"/>
        </w:tabs>
        <w:ind w:left="1619"/>
      </w:pPr>
      <w:r w:rsidRPr="00347BC6">
        <w:t xml:space="preserve">There is interest to support </w:t>
      </w:r>
      <w:r w:rsidRPr="00331259">
        <w:rPr>
          <w:highlight w:val="yellow"/>
        </w:rPr>
        <w:t>delta configuration</w:t>
      </w:r>
      <w:r w:rsidRPr="00347BC6">
        <w:t>, to reduce the signalling overhead (FFS if some other objective should be achieved)</w:t>
      </w:r>
    </w:p>
    <w:p w14:paraId="589E0979" w14:textId="77777777" w:rsidR="00A20D1F" w:rsidRPr="00347BC6" w:rsidRDefault="00A20D1F" w:rsidP="00A20D1F">
      <w:pPr>
        <w:pStyle w:val="Agreement"/>
        <w:numPr>
          <w:ilvl w:val="0"/>
          <w:numId w:val="5"/>
        </w:numPr>
        <w:tabs>
          <w:tab w:val="clear" w:pos="2070"/>
          <w:tab w:val="num" w:pos="1619"/>
        </w:tabs>
        <w:ind w:left="1619"/>
      </w:pPr>
      <w:r w:rsidRPr="004F0F03">
        <w:t>FFS how many subsequent conditional changes are targeted</w:t>
      </w:r>
      <w:r w:rsidRPr="00347BC6">
        <w:t xml:space="preserve"> (and what is the impact of such assumption). </w:t>
      </w:r>
    </w:p>
    <w:p w14:paraId="4CF1E5D1" w14:textId="38127B2E" w:rsidR="00A20D1F" w:rsidRDefault="00A20D1F" w:rsidP="008135C8">
      <w:pPr>
        <w:pStyle w:val="Doc-text2"/>
        <w:tabs>
          <w:tab w:val="left" w:pos="340"/>
        </w:tabs>
        <w:ind w:left="0" w:firstLine="0"/>
        <w:jc w:val="both"/>
      </w:pPr>
    </w:p>
    <w:p w14:paraId="4D3E69A4" w14:textId="77777777" w:rsidR="00A20D1F" w:rsidRPr="00347BC6" w:rsidRDefault="00A20D1F" w:rsidP="00A20D1F">
      <w:pPr>
        <w:pStyle w:val="Agreement"/>
        <w:numPr>
          <w:ilvl w:val="0"/>
          <w:numId w:val="5"/>
        </w:numPr>
        <w:tabs>
          <w:tab w:val="clear" w:pos="2070"/>
          <w:tab w:val="num" w:pos="1619"/>
        </w:tabs>
        <w:ind w:left="1619"/>
      </w:pPr>
      <w:r w:rsidRPr="00347BC6">
        <w:t xml:space="preserve">FFS whether there is a </w:t>
      </w:r>
      <w:r w:rsidRPr="004F0F03">
        <w:rPr>
          <w:highlight w:val="yellow"/>
        </w:rPr>
        <w:t>security issue</w:t>
      </w:r>
      <w:r w:rsidRPr="00347BC6">
        <w:t>: e.g. to determine vertical or horizontal key derivation, e.g. security parameters re-used as part of subsequent CG switch (for the case when UE goes back to a previous cell, maybe in another SN), and FFS on the procedure/method with which the UE derives the SN security, e.g. based on a prior MN config (without RRC CPC config at the time of SN switch).</w:t>
      </w:r>
    </w:p>
    <w:p w14:paraId="197AE5E6" w14:textId="77777777" w:rsidR="00A20D1F" w:rsidRDefault="00A20D1F" w:rsidP="008135C8">
      <w:pPr>
        <w:pStyle w:val="Doc-text2"/>
        <w:tabs>
          <w:tab w:val="left" w:pos="340"/>
        </w:tabs>
        <w:ind w:left="0" w:firstLine="0"/>
        <w:jc w:val="both"/>
      </w:pPr>
    </w:p>
    <w:p w14:paraId="13B7FD4D" w14:textId="5830FF65" w:rsidR="00E625C7" w:rsidRPr="00A70FC0" w:rsidRDefault="00A20D1F" w:rsidP="00E625C7">
      <w:pPr>
        <w:pStyle w:val="Doc-text2"/>
        <w:tabs>
          <w:tab w:val="left" w:pos="340"/>
        </w:tabs>
        <w:ind w:left="0" w:firstLine="0"/>
        <w:jc w:val="both"/>
      </w:pPr>
      <w:r>
        <w:t>In this paper, w</w:t>
      </w:r>
      <w:r w:rsidR="00B34071">
        <w:t xml:space="preserve">e </w:t>
      </w:r>
      <w:r>
        <w:t xml:space="preserve">continue to discuss further aspects </w:t>
      </w:r>
      <w:r w:rsidR="00E625C7">
        <w:t>on objective#2</w:t>
      </w:r>
      <w:r>
        <w:t>.</w:t>
      </w:r>
      <w:r w:rsidR="009034F8">
        <w:t xml:space="preserve"> </w:t>
      </w:r>
      <w:r w:rsidR="00A70FC0">
        <w:rPr>
          <w:rFonts w:eastAsiaTheme="minorEastAsia"/>
        </w:rPr>
        <w:t xml:space="preserve">As </w:t>
      </w:r>
      <w:r w:rsidR="00E625C7">
        <w:rPr>
          <w:rFonts w:eastAsiaTheme="minorEastAsia"/>
        </w:rPr>
        <w:t xml:space="preserve">we </w:t>
      </w:r>
      <w:r w:rsidR="00A70FC0">
        <w:rPr>
          <w:rFonts w:eastAsiaTheme="minorEastAsia"/>
        </w:rPr>
        <w:t xml:space="preserve">already </w:t>
      </w:r>
      <w:r w:rsidR="00E625C7">
        <w:rPr>
          <w:rFonts w:eastAsiaTheme="minorEastAsia"/>
        </w:rPr>
        <w:t>agreed to focus on SCG</w:t>
      </w:r>
      <w:r w:rsidR="00A70FC0">
        <w:rPr>
          <w:rFonts w:eastAsiaTheme="minorEastAsia"/>
        </w:rPr>
        <w:t xml:space="preserve">, </w:t>
      </w:r>
      <w:r w:rsidR="00E625C7">
        <w:rPr>
          <w:rFonts w:eastAsiaTheme="minorEastAsia"/>
        </w:rPr>
        <w:t xml:space="preserve">the main focus on this paper will </w:t>
      </w:r>
      <w:r w:rsidR="00A70FC0">
        <w:rPr>
          <w:rFonts w:eastAsiaTheme="minorEastAsia"/>
        </w:rPr>
        <w:t xml:space="preserve">be further aspects for </w:t>
      </w:r>
      <w:r w:rsidR="00A70FC0" w:rsidRPr="00A70FC0">
        <w:rPr>
          <w:rFonts w:eastAsiaTheme="minorEastAsia"/>
          <w:b/>
          <w:bCs/>
        </w:rPr>
        <w:t>selective activation</w:t>
      </w:r>
      <w:r w:rsidR="00A70FC0">
        <w:rPr>
          <w:rFonts w:eastAsiaTheme="minorEastAsia"/>
          <w:b/>
          <w:bCs/>
        </w:rPr>
        <w:t xml:space="preserve"> of SCG</w:t>
      </w:r>
      <w:r w:rsidR="00A70FC0">
        <w:rPr>
          <w:rFonts w:eastAsiaTheme="minorEastAsia"/>
        </w:rPr>
        <w:t>.</w:t>
      </w:r>
    </w:p>
    <w:p w14:paraId="6FC92C5E" w14:textId="77777777" w:rsidR="00E625C7" w:rsidRDefault="00E625C7" w:rsidP="008135C8">
      <w:pPr>
        <w:pStyle w:val="Doc-text2"/>
        <w:tabs>
          <w:tab w:val="left" w:pos="340"/>
        </w:tabs>
        <w:ind w:left="0" w:firstLine="0"/>
        <w:jc w:val="both"/>
      </w:pPr>
    </w:p>
    <w:p w14:paraId="4A5C1F6B" w14:textId="02FF03C9" w:rsidR="001E64CC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7200FC8A" w14:textId="1E03D382" w:rsidR="00222611" w:rsidRPr="00B94288" w:rsidRDefault="00222611" w:rsidP="00222611">
      <w:pPr>
        <w:pStyle w:val="Heading2"/>
        <w:rPr>
          <w:lang w:val="en-US" w:eastAsia="ko-KR"/>
        </w:rPr>
      </w:pPr>
      <w:r>
        <w:rPr>
          <w:lang w:val="en-US" w:eastAsia="ko-KR"/>
        </w:rPr>
        <w:t>2.1 Supporting Scenario</w:t>
      </w:r>
      <w:r w:rsidR="008B3351">
        <w:rPr>
          <w:lang w:val="en-US" w:eastAsia="ko-KR"/>
        </w:rPr>
        <w:t>s</w:t>
      </w:r>
    </w:p>
    <w:p w14:paraId="0C40F437" w14:textId="13D5F0D4" w:rsidR="00222611" w:rsidRDefault="00E625C7" w:rsidP="0022261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>I</w:t>
      </w:r>
      <w:r w:rsidR="00266101">
        <w:rPr>
          <w:rFonts w:eastAsiaTheme="minorEastAsia"/>
        </w:rPr>
        <w:t xml:space="preserve">t is agreed to support </w:t>
      </w:r>
      <w:r w:rsidR="00266101" w:rsidRPr="00266101">
        <w:rPr>
          <w:rFonts w:eastAsiaTheme="minorEastAsia"/>
        </w:rPr>
        <w:t>subsequent</w:t>
      </w:r>
      <w:r w:rsidR="00266101">
        <w:rPr>
          <w:rFonts w:eastAsiaTheme="minorEastAsia"/>
        </w:rPr>
        <w:t xml:space="preserve"> CPC after normal or conditional SCG change. The supporting of CPA is FFS. In our view, there is </w:t>
      </w:r>
      <w:r w:rsidR="00A70FC0">
        <w:rPr>
          <w:rFonts w:eastAsiaTheme="minorEastAsia"/>
        </w:rPr>
        <w:t>no</w:t>
      </w:r>
      <w:r w:rsidR="00266101">
        <w:rPr>
          <w:rFonts w:eastAsiaTheme="minorEastAsia"/>
        </w:rPr>
        <w:t xml:space="preserve"> much effort to support subsequent CPC after </w:t>
      </w:r>
      <w:proofErr w:type="spellStart"/>
      <w:r w:rsidR="00266101">
        <w:rPr>
          <w:rFonts w:eastAsiaTheme="minorEastAsia"/>
        </w:rPr>
        <w:t>PSCell</w:t>
      </w:r>
      <w:proofErr w:type="spellEnd"/>
      <w:r w:rsidR="00266101">
        <w:rPr>
          <w:rFonts w:eastAsiaTheme="minorEastAsia"/>
        </w:rPr>
        <w:t xml:space="preserve"> addition if we agree support subsequent CPC after </w:t>
      </w:r>
      <w:proofErr w:type="spellStart"/>
      <w:r w:rsidR="00266101">
        <w:rPr>
          <w:rFonts w:eastAsiaTheme="minorEastAsia"/>
        </w:rPr>
        <w:t>PSCell</w:t>
      </w:r>
      <w:proofErr w:type="spellEnd"/>
      <w:r w:rsidR="00266101">
        <w:rPr>
          <w:rFonts w:eastAsiaTheme="minorEastAsia"/>
        </w:rPr>
        <w:t xml:space="preserve"> Change. Therefore, we would like to clarify the agreement as below to ensure the CPA is in the scope.</w:t>
      </w:r>
    </w:p>
    <w:p w14:paraId="15387733" w14:textId="77777777" w:rsidR="00266101" w:rsidRDefault="00266101" w:rsidP="00222611">
      <w:pPr>
        <w:pStyle w:val="Doc-text2"/>
        <w:tabs>
          <w:tab w:val="left" w:pos="340"/>
        </w:tabs>
        <w:ind w:left="0" w:firstLine="0"/>
        <w:jc w:val="both"/>
        <w:rPr>
          <w:lang w:eastAsia="ko-KR"/>
        </w:rPr>
      </w:pPr>
    </w:p>
    <w:p w14:paraId="02F88C49" w14:textId="1F6C5E34" w:rsidR="00266101" w:rsidRDefault="00266101" w:rsidP="00266101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>1</w:t>
      </w:r>
      <w:r w:rsidRPr="008A29F1">
        <w:rPr>
          <w:rFonts w:cs="Arial"/>
          <w:b/>
        </w:rPr>
        <w:t xml:space="preserve">: </w:t>
      </w:r>
      <w:r w:rsidR="00E625C7" w:rsidRPr="00E625C7">
        <w:rPr>
          <w:rFonts w:cs="Arial"/>
          <w:b/>
        </w:rPr>
        <w:t xml:space="preserve">The selective activation of </w:t>
      </w:r>
      <w:r w:rsidR="00E625C7">
        <w:rPr>
          <w:rFonts w:cs="Arial"/>
          <w:b/>
        </w:rPr>
        <w:t>SCG</w:t>
      </w:r>
      <w:r w:rsidR="00E625C7" w:rsidRPr="00E625C7">
        <w:rPr>
          <w:rFonts w:cs="Arial"/>
          <w:b/>
        </w:rPr>
        <w:t xml:space="preserve"> should correspond to support of subsequent </w:t>
      </w:r>
      <w:r w:rsidR="00E625C7">
        <w:rPr>
          <w:rFonts w:cs="Arial"/>
          <w:b/>
        </w:rPr>
        <w:t>CPC</w:t>
      </w:r>
      <w:r w:rsidR="00E625C7" w:rsidRPr="00E625C7">
        <w:rPr>
          <w:rFonts w:cs="Arial"/>
          <w:b/>
        </w:rPr>
        <w:t xml:space="preserve"> after </w:t>
      </w:r>
      <w:r w:rsidR="00E625C7">
        <w:rPr>
          <w:rFonts w:cs="Arial"/>
          <w:b/>
        </w:rPr>
        <w:t xml:space="preserve">SCG </w:t>
      </w:r>
      <w:r w:rsidR="00E625C7" w:rsidRPr="00E625C7">
        <w:rPr>
          <w:rFonts w:cs="Arial"/>
          <w:b/>
        </w:rPr>
        <w:t xml:space="preserve">change </w:t>
      </w:r>
      <w:r w:rsidR="00E625C7">
        <w:rPr>
          <w:rFonts w:cs="Arial"/>
          <w:b/>
        </w:rPr>
        <w:t xml:space="preserve">or SCG addition </w:t>
      </w:r>
      <w:r w:rsidR="00E625C7" w:rsidRPr="00E625C7">
        <w:rPr>
          <w:rFonts w:cs="Arial"/>
          <w:b/>
        </w:rPr>
        <w:t>(normal or conditional)</w:t>
      </w:r>
      <w:r>
        <w:rPr>
          <w:rFonts w:cs="Arial"/>
          <w:b/>
        </w:rPr>
        <w:t>.</w:t>
      </w:r>
    </w:p>
    <w:p w14:paraId="5AC1DF64" w14:textId="77777777" w:rsidR="00266101" w:rsidRPr="00222611" w:rsidRDefault="00266101" w:rsidP="00222611">
      <w:pPr>
        <w:rPr>
          <w:lang w:val="en-US" w:eastAsia="ko-KR"/>
        </w:rPr>
      </w:pPr>
    </w:p>
    <w:p w14:paraId="38D94CED" w14:textId="7E89918E" w:rsidR="00392B2F" w:rsidRPr="00B94288" w:rsidRDefault="00392B2F" w:rsidP="00392B2F">
      <w:pPr>
        <w:pStyle w:val="Heading2"/>
        <w:rPr>
          <w:lang w:val="en-US" w:eastAsia="ko-KR"/>
        </w:rPr>
      </w:pPr>
      <w:r>
        <w:rPr>
          <w:lang w:val="en-US" w:eastAsia="ko-KR"/>
        </w:rPr>
        <w:t>2.</w:t>
      </w:r>
      <w:r w:rsidR="00222611">
        <w:rPr>
          <w:lang w:val="en-US" w:eastAsia="ko-KR"/>
        </w:rPr>
        <w:t>2</w:t>
      </w:r>
      <w:r>
        <w:rPr>
          <w:lang w:val="en-US" w:eastAsia="ko-KR"/>
        </w:rPr>
        <w:t xml:space="preserve"> </w:t>
      </w:r>
      <w:r w:rsidR="001B49F3">
        <w:rPr>
          <w:lang w:val="en-US" w:eastAsia="ko-KR"/>
        </w:rPr>
        <w:t xml:space="preserve">RRC Model </w:t>
      </w:r>
      <w:r w:rsidR="00394476">
        <w:rPr>
          <w:lang w:val="en-US" w:eastAsia="ko-KR"/>
        </w:rPr>
        <w:t xml:space="preserve">of predefined configuration </w:t>
      </w:r>
      <w:r w:rsidR="001B49F3">
        <w:rPr>
          <w:lang w:val="en-US" w:eastAsia="ko-KR"/>
        </w:rPr>
        <w:t xml:space="preserve">and delta </w:t>
      </w:r>
      <w:r w:rsidR="00394476">
        <w:rPr>
          <w:lang w:val="en-US" w:eastAsia="ko-KR"/>
        </w:rPr>
        <w:t>aspect</w:t>
      </w:r>
    </w:p>
    <w:p w14:paraId="3EA86937" w14:textId="089E8D38" w:rsidR="00B148C8" w:rsidRDefault="00B148C8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>The basic flow of legacy CPC works as following</w:t>
      </w:r>
    </w:p>
    <w:p w14:paraId="4DA4A750" w14:textId="1F97974B" w:rsidR="003B5767" w:rsidRPr="003B5767" w:rsidRDefault="003B5767" w:rsidP="003B5767">
      <w:pPr>
        <w:pStyle w:val="Doc-text2"/>
        <w:numPr>
          <w:ilvl w:val="0"/>
          <w:numId w:val="13"/>
        </w:numPr>
        <w:tabs>
          <w:tab w:val="left" w:pos="340"/>
        </w:tabs>
        <w:jc w:val="both"/>
        <w:rPr>
          <w:rFonts w:eastAsiaTheme="minorEastAsia"/>
        </w:rPr>
      </w:pPr>
      <w:r w:rsidRPr="003B5767">
        <w:rPr>
          <w:rFonts w:eastAsiaTheme="minorEastAsia"/>
        </w:rPr>
        <w:t xml:space="preserve">The network configures predefined </w:t>
      </w:r>
      <w:r w:rsidR="004F0F03">
        <w:rPr>
          <w:rFonts w:eastAsiaTheme="minorEastAsia"/>
        </w:rPr>
        <w:t>configuration</w:t>
      </w:r>
      <w:r w:rsidRPr="003B5767">
        <w:rPr>
          <w:rFonts w:eastAsiaTheme="minorEastAsia"/>
        </w:rPr>
        <w:t xml:space="preserve"> and triggering condition for each candidate </w:t>
      </w:r>
      <w:proofErr w:type="spellStart"/>
      <w:r w:rsidRPr="003B5767">
        <w:rPr>
          <w:rFonts w:eastAsiaTheme="minorEastAsia"/>
        </w:rPr>
        <w:t>PSCell</w:t>
      </w:r>
      <w:proofErr w:type="spellEnd"/>
    </w:p>
    <w:p w14:paraId="40B383B3" w14:textId="77777777" w:rsidR="003B5767" w:rsidRPr="003B5767" w:rsidRDefault="003B5767" w:rsidP="003B5767">
      <w:pPr>
        <w:pStyle w:val="Doc-text2"/>
        <w:numPr>
          <w:ilvl w:val="0"/>
          <w:numId w:val="13"/>
        </w:numPr>
        <w:tabs>
          <w:tab w:val="left" w:pos="340"/>
        </w:tabs>
        <w:jc w:val="both"/>
        <w:rPr>
          <w:rFonts w:eastAsiaTheme="minorEastAsia"/>
        </w:rPr>
      </w:pPr>
      <w:r w:rsidRPr="003B5767">
        <w:rPr>
          <w:rFonts w:eastAsiaTheme="minorEastAsia"/>
        </w:rPr>
        <w:t xml:space="preserve">The UE evaluates the triggering condition </w:t>
      </w:r>
    </w:p>
    <w:p w14:paraId="41D0497C" w14:textId="63917E3B" w:rsidR="003B5767" w:rsidRPr="003B5767" w:rsidRDefault="003B5767" w:rsidP="003B5767">
      <w:pPr>
        <w:pStyle w:val="Doc-text2"/>
        <w:numPr>
          <w:ilvl w:val="0"/>
          <w:numId w:val="13"/>
        </w:numPr>
        <w:tabs>
          <w:tab w:val="left" w:pos="340"/>
        </w:tabs>
        <w:jc w:val="both"/>
        <w:rPr>
          <w:rFonts w:eastAsiaTheme="minorEastAsia"/>
        </w:rPr>
      </w:pPr>
      <w:r w:rsidRPr="003B5767">
        <w:rPr>
          <w:rFonts w:eastAsiaTheme="minorEastAsia"/>
        </w:rPr>
        <w:t>The UE executes the predefined configuration</w:t>
      </w:r>
      <w:r>
        <w:rPr>
          <w:rFonts w:eastAsiaTheme="minorEastAsia"/>
        </w:rPr>
        <w:t xml:space="preserve"> if the triggering condition is met for corresponding </w:t>
      </w:r>
      <w:proofErr w:type="spellStart"/>
      <w:r>
        <w:rPr>
          <w:rFonts w:eastAsiaTheme="minorEastAsia"/>
        </w:rPr>
        <w:t>PSCell</w:t>
      </w:r>
      <w:proofErr w:type="spellEnd"/>
    </w:p>
    <w:p w14:paraId="5A097849" w14:textId="4D62AE36" w:rsidR="00B148C8" w:rsidRPr="00CA0C91" w:rsidRDefault="003B5767" w:rsidP="003B5767">
      <w:pPr>
        <w:pStyle w:val="Doc-text2"/>
        <w:numPr>
          <w:ilvl w:val="0"/>
          <w:numId w:val="13"/>
        </w:numPr>
        <w:tabs>
          <w:tab w:val="left" w:pos="340"/>
        </w:tabs>
        <w:jc w:val="both"/>
        <w:rPr>
          <w:rFonts w:eastAsiaTheme="minorEastAsia"/>
        </w:rPr>
      </w:pPr>
      <w:r w:rsidRPr="00CA0C91">
        <w:rPr>
          <w:rFonts w:eastAsiaTheme="minorEastAsia"/>
          <w:lang w:val="en-GB"/>
        </w:rPr>
        <w:t xml:space="preserve">The UE releases all candidate </w:t>
      </w:r>
      <w:proofErr w:type="spellStart"/>
      <w:r w:rsidRPr="00CA0C91">
        <w:rPr>
          <w:rFonts w:eastAsiaTheme="minorEastAsia"/>
          <w:lang w:val="en-GB"/>
        </w:rPr>
        <w:t>PCell</w:t>
      </w:r>
      <w:proofErr w:type="spellEnd"/>
      <w:r w:rsidRPr="00CA0C91">
        <w:rPr>
          <w:rFonts w:eastAsiaTheme="minorEastAsia"/>
          <w:lang w:val="en-GB"/>
        </w:rPr>
        <w:t xml:space="preserve"> and the corresponding predefined reconfiguration</w:t>
      </w:r>
    </w:p>
    <w:p w14:paraId="30FEBDE4" w14:textId="77777777" w:rsidR="00B148C8" w:rsidRDefault="00B148C8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15ECF5C8" w14:textId="5252044A" w:rsidR="00B148C8" w:rsidRDefault="00B148C8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>T</w:t>
      </w:r>
      <w:r w:rsidR="00B81D8D">
        <w:rPr>
          <w:rFonts w:eastAsiaTheme="minorEastAsia"/>
        </w:rPr>
        <w:t xml:space="preserve">he </w:t>
      </w:r>
      <w:r w:rsidR="007B245D">
        <w:rPr>
          <w:rFonts w:eastAsiaTheme="minorEastAsia"/>
        </w:rPr>
        <w:t xml:space="preserve">key discussion point for selective SCG activation is how to support the </w:t>
      </w:r>
      <w:r w:rsidR="007B245D" w:rsidRPr="00D73315">
        <w:rPr>
          <w:rFonts w:eastAsiaTheme="minorEastAsia"/>
        </w:rPr>
        <w:t xml:space="preserve">subsequent </w:t>
      </w:r>
      <w:r w:rsidR="00236C5E" w:rsidRPr="00D73315">
        <w:rPr>
          <w:rFonts w:eastAsiaTheme="minorEastAsia"/>
        </w:rPr>
        <w:t>CPC</w:t>
      </w:r>
      <w:r w:rsidR="00236C5E">
        <w:rPr>
          <w:rFonts w:eastAsiaTheme="minorEastAsia"/>
        </w:rPr>
        <w:t xml:space="preserve"> </w:t>
      </w:r>
      <w:r w:rsidR="007B245D" w:rsidRPr="00A277BF">
        <w:rPr>
          <w:rFonts w:eastAsiaTheme="minorEastAsia"/>
          <w:i/>
          <w:iCs/>
        </w:rPr>
        <w:t>without</w:t>
      </w:r>
      <w:r w:rsidR="007B245D">
        <w:rPr>
          <w:rFonts w:eastAsiaTheme="minorEastAsia"/>
        </w:rPr>
        <w:t xml:space="preserve"> RRC </w:t>
      </w:r>
      <w:r w:rsidR="00A277BF">
        <w:rPr>
          <w:rFonts w:eastAsiaTheme="minorEastAsia"/>
        </w:rPr>
        <w:t>Reconfiguration</w:t>
      </w:r>
      <w:r w:rsidR="007B245D">
        <w:rPr>
          <w:rFonts w:eastAsiaTheme="minorEastAsia"/>
        </w:rPr>
        <w:t xml:space="preserve"> message</w:t>
      </w:r>
      <w:r w:rsidR="00A277BF">
        <w:rPr>
          <w:rFonts w:eastAsiaTheme="minorEastAsia"/>
        </w:rPr>
        <w:t xml:space="preserve">. </w:t>
      </w:r>
      <w:r w:rsidR="003B5767">
        <w:rPr>
          <w:rFonts w:eastAsiaTheme="minorEastAsia"/>
        </w:rPr>
        <w:t xml:space="preserve">In that case, the </w:t>
      </w:r>
      <w:r w:rsidR="004F0F03">
        <w:rPr>
          <w:rFonts w:eastAsiaTheme="minorEastAsia"/>
        </w:rPr>
        <w:t xml:space="preserve">UE </w:t>
      </w:r>
      <w:r w:rsidR="001B49F3">
        <w:rPr>
          <w:rFonts w:eastAsiaTheme="minorEastAsia"/>
        </w:rPr>
        <w:t>will</w:t>
      </w:r>
      <w:r w:rsidR="004F0F03">
        <w:rPr>
          <w:rFonts w:eastAsiaTheme="minorEastAsia"/>
        </w:rPr>
        <w:t xml:space="preserve"> keep </w:t>
      </w:r>
      <w:r w:rsidR="004F0F03" w:rsidRPr="003B5767">
        <w:rPr>
          <w:rFonts w:eastAsiaTheme="minorEastAsia"/>
        </w:rPr>
        <w:t xml:space="preserve">predefined </w:t>
      </w:r>
      <w:r w:rsidR="004F0F03">
        <w:rPr>
          <w:rFonts w:eastAsiaTheme="minorEastAsia"/>
        </w:rPr>
        <w:t>configuration even after execution some</w:t>
      </w:r>
      <w:r w:rsidR="00F46008">
        <w:rPr>
          <w:rFonts w:eastAsiaTheme="minorEastAsia"/>
        </w:rPr>
        <w:t xml:space="preserve"> other</w:t>
      </w:r>
      <w:r w:rsidR="004F0F03">
        <w:rPr>
          <w:rFonts w:eastAsiaTheme="minorEastAsia"/>
        </w:rPr>
        <w:t xml:space="preserve"> predefined </w:t>
      </w:r>
      <w:r w:rsidR="004F0F03" w:rsidRPr="003B5767">
        <w:rPr>
          <w:rFonts w:eastAsiaTheme="minorEastAsia"/>
        </w:rPr>
        <w:t>configuration</w:t>
      </w:r>
      <w:r w:rsidR="004F0F03">
        <w:rPr>
          <w:rFonts w:eastAsiaTheme="minorEastAsia"/>
        </w:rPr>
        <w:t xml:space="preserve">. </w:t>
      </w:r>
      <w:r w:rsidR="00F46008">
        <w:rPr>
          <w:rFonts w:eastAsiaTheme="minorEastAsia"/>
        </w:rPr>
        <w:t xml:space="preserve">The </w:t>
      </w:r>
      <w:r w:rsidR="00F46008" w:rsidRPr="00BC5129">
        <w:rPr>
          <w:rFonts w:eastAsiaTheme="minorEastAsia"/>
          <w:b/>
          <w:bCs/>
        </w:rPr>
        <w:t>delta configuration aspect</w:t>
      </w:r>
      <w:r w:rsidR="00F46008">
        <w:rPr>
          <w:rFonts w:eastAsiaTheme="minorEastAsia"/>
        </w:rPr>
        <w:t xml:space="preserve"> </w:t>
      </w:r>
      <w:r w:rsidR="00B803E1">
        <w:rPr>
          <w:rFonts w:eastAsiaTheme="minorEastAsia"/>
        </w:rPr>
        <w:t>needs</w:t>
      </w:r>
      <w:r w:rsidR="00F46008">
        <w:rPr>
          <w:rFonts w:eastAsiaTheme="minorEastAsia"/>
        </w:rPr>
        <w:t xml:space="preserve"> to be further </w:t>
      </w:r>
      <w:r w:rsidR="001B49F3">
        <w:rPr>
          <w:rFonts w:eastAsiaTheme="minorEastAsia"/>
        </w:rPr>
        <w:t>studied</w:t>
      </w:r>
      <w:r w:rsidR="00F46008">
        <w:rPr>
          <w:rFonts w:eastAsiaTheme="minorEastAsia"/>
        </w:rPr>
        <w:t xml:space="preserve"> on how to apply the </w:t>
      </w:r>
      <w:r w:rsidR="00F46008" w:rsidRPr="003B5767">
        <w:rPr>
          <w:rFonts w:eastAsiaTheme="minorEastAsia"/>
        </w:rPr>
        <w:t xml:space="preserve">predefined </w:t>
      </w:r>
      <w:r w:rsidR="00F46008">
        <w:rPr>
          <w:rFonts w:eastAsiaTheme="minorEastAsia"/>
        </w:rPr>
        <w:t xml:space="preserve">configuration based “current” configuration. </w:t>
      </w:r>
    </w:p>
    <w:p w14:paraId="44B3E43E" w14:textId="3315B153" w:rsidR="00B148C8" w:rsidRDefault="00B148C8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40EB2775" w14:textId="6332593E" w:rsidR="00266101" w:rsidRDefault="00B803E1" w:rsidP="00380A1A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We notice that almost the same issue is discussed in </w:t>
      </w:r>
      <w:r w:rsidR="0089729B">
        <w:rPr>
          <w:rFonts w:eastAsiaTheme="minorEastAsia"/>
        </w:rPr>
        <w:t>L1/L2 mobility</w:t>
      </w:r>
      <w:r w:rsidR="00491D5E">
        <w:rPr>
          <w:rFonts w:eastAsiaTheme="minorEastAsia"/>
        </w:rPr>
        <w:t xml:space="preserve"> objective</w:t>
      </w:r>
      <w:r w:rsidR="0089729B">
        <w:rPr>
          <w:rFonts w:eastAsiaTheme="minorEastAsia"/>
        </w:rPr>
        <w:t>.</w:t>
      </w:r>
      <w:r w:rsidR="00491D5E">
        <w:rPr>
          <w:rFonts w:eastAsiaTheme="minorEastAsia"/>
        </w:rPr>
        <w:t xml:space="preserve"> RAN2 intends to design the pre-configuration of candidate cells so that UE </w:t>
      </w:r>
      <w:r w:rsidR="00BC5129">
        <w:rPr>
          <w:rFonts w:eastAsiaTheme="minorEastAsia"/>
        </w:rPr>
        <w:t xml:space="preserve">can </w:t>
      </w:r>
      <w:r w:rsidR="00491D5E">
        <w:rPr>
          <w:rFonts w:eastAsiaTheme="minorEastAsia"/>
        </w:rPr>
        <w:t xml:space="preserve">perform </w:t>
      </w:r>
      <w:r w:rsidR="00491D5E" w:rsidRPr="00347BC6">
        <w:t>dynamic switching without need for full configuration</w:t>
      </w:r>
      <w:r w:rsidR="00491D5E">
        <w:rPr>
          <w:rFonts w:eastAsiaTheme="minorEastAsia"/>
        </w:rPr>
        <w:t xml:space="preserve">. The delta aspect </w:t>
      </w:r>
      <w:r w:rsidR="00BC5129">
        <w:rPr>
          <w:rFonts w:eastAsiaTheme="minorEastAsia"/>
        </w:rPr>
        <w:t>in objective#1</w:t>
      </w:r>
      <w:r w:rsidR="00491D5E">
        <w:rPr>
          <w:rFonts w:eastAsiaTheme="minorEastAsia"/>
        </w:rPr>
        <w:t xml:space="preserve"> </w:t>
      </w:r>
      <w:r w:rsidR="00BC5129">
        <w:rPr>
          <w:rFonts w:eastAsiaTheme="minorEastAsia"/>
        </w:rPr>
        <w:t xml:space="preserve">is </w:t>
      </w:r>
      <w:r w:rsidR="00491D5E">
        <w:rPr>
          <w:rFonts w:eastAsiaTheme="minorEastAsia"/>
        </w:rPr>
        <w:t>how the UE apply the prepared configuration after cell switching</w:t>
      </w:r>
      <w:r w:rsidR="00BC5129">
        <w:rPr>
          <w:rFonts w:eastAsiaTheme="minorEastAsia"/>
        </w:rPr>
        <w:t>, which is the same concept as in selective SCG activation</w:t>
      </w:r>
      <w:r w:rsidR="00491D5E">
        <w:rPr>
          <w:rFonts w:eastAsiaTheme="minorEastAsia"/>
        </w:rPr>
        <w:t xml:space="preserve">. To avoid duplicate discussion and save </w:t>
      </w:r>
      <w:r w:rsidR="00380A1A">
        <w:rPr>
          <w:rFonts w:eastAsiaTheme="minorEastAsia"/>
        </w:rPr>
        <w:t>workload</w:t>
      </w:r>
      <w:r w:rsidR="00491D5E">
        <w:rPr>
          <w:rFonts w:eastAsiaTheme="minorEastAsia"/>
        </w:rPr>
        <w:t>, we think that RAN2 should reuse the same design (if concluded in L1/L2 mobility) also for selective SCG activation.</w:t>
      </w:r>
      <w:r w:rsidR="00380A1A">
        <w:rPr>
          <w:rFonts w:eastAsiaTheme="minorEastAsia"/>
        </w:rPr>
        <w:t xml:space="preserve"> </w:t>
      </w:r>
      <w:r w:rsidR="001D1285">
        <w:rPr>
          <w:rFonts w:eastAsiaTheme="minorEastAsia"/>
        </w:rPr>
        <w:t xml:space="preserve">In </w:t>
      </w:r>
      <w:r w:rsidR="0089729B">
        <w:rPr>
          <w:rFonts w:eastAsiaTheme="minorEastAsia"/>
        </w:rPr>
        <w:t xml:space="preserve">legacy </w:t>
      </w:r>
      <w:r w:rsidR="001D1285">
        <w:rPr>
          <w:rFonts w:eastAsiaTheme="minorEastAsia"/>
        </w:rPr>
        <w:t xml:space="preserve">CPC, </w:t>
      </w:r>
      <w:r w:rsidR="00491D5E">
        <w:rPr>
          <w:rFonts w:eastAsiaTheme="minorEastAsia"/>
        </w:rPr>
        <w:t xml:space="preserve">the </w:t>
      </w:r>
      <w:r w:rsidR="0089729B">
        <w:rPr>
          <w:rFonts w:eastAsiaTheme="minorEastAsia"/>
        </w:rPr>
        <w:t>RRC model of the “</w:t>
      </w:r>
      <w:r w:rsidR="0089729B" w:rsidRPr="001D1285">
        <w:rPr>
          <w:rFonts w:eastAsiaTheme="minorEastAsia"/>
        </w:rPr>
        <w:t>predefined configuration</w:t>
      </w:r>
      <w:r w:rsidR="0089729B">
        <w:rPr>
          <w:rFonts w:eastAsiaTheme="minorEastAsia"/>
        </w:rPr>
        <w:t>”</w:t>
      </w:r>
      <w:r w:rsidR="00491D5E">
        <w:rPr>
          <w:rFonts w:eastAsiaTheme="minorEastAsia"/>
        </w:rPr>
        <w:t xml:space="preserve"> </w:t>
      </w:r>
      <w:r w:rsidR="001D1285">
        <w:rPr>
          <w:rFonts w:eastAsiaTheme="minorEastAsia"/>
        </w:rPr>
        <w:t>is a complete RRC Reconfiguration message. In selective SCG activation,</w:t>
      </w:r>
      <w:r w:rsidR="00380A1A">
        <w:rPr>
          <w:rFonts w:eastAsiaTheme="minorEastAsia"/>
        </w:rPr>
        <w:t xml:space="preserve"> </w:t>
      </w:r>
      <w:r w:rsidR="00BC5129">
        <w:rPr>
          <w:rFonts w:eastAsiaTheme="minorEastAsia"/>
        </w:rPr>
        <w:t xml:space="preserve">at least for intra-SN case, we see no problem to </w:t>
      </w:r>
      <w:r w:rsidR="008B3351">
        <w:rPr>
          <w:rFonts w:eastAsiaTheme="minorEastAsia"/>
        </w:rPr>
        <w:t xml:space="preserve">use </w:t>
      </w:r>
      <w:proofErr w:type="spellStart"/>
      <w:r w:rsidR="008B3351" w:rsidRPr="008B3351">
        <w:rPr>
          <w:rFonts w:eastAsiaTheme="minorEastAsia"/>
          <w:i/>
          <w:iCs/>
        </w:rPr>
        <w:t>CellGroupConfig</w:t>
      </w:r>
      <w:proofErr w:type="spellEnd"/>
      <w:r w:rsidR="008B3351" w:rsidRPr="008B3351">
        <w:rPr>
          <w:rFonts w:eastAsiaTheme="minorEastAsia"/>
        </w:rPr>
        <w:t xml:space="preserve"> IE </w:t>
      </w:r>
      <w:r w:rsidR="008B3351">
        <w:rPr>
          <w:rFonts w:eastAsiaTheme="minorEastAsia"/>
        </w:rPr>
        <w:t xml:space="preserve">(model 2 </w:t>
      </w:r>
      <w:r w:rsidR="00BC5129">
        <w:rPr>
          <w:rFonts w:eastAsiaTheme="minorEastAsia"/>
        </w:rPr>
        <w:t>form L1/L2 mobility</w:t>
      </w:r>
      <w:r w:rsidR="008B3351">
        <w:rPr>
          <w:rFonts w:eastAsiaTheme="minorEastAsia"/>
        </w:rPr>
        <w:t xml:space="preserve"> discussion).</w:t>
      </w:r>
    </w:p>
    <w:p w14:paraId="4FB21BF4" w14:textId="3EC5AF84" w:rsidR="00491D5E" w:rsidRDefault="001D1285" w:rsidP="00380A1A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 </w:t>
      </w:r>
    </w:p>
    <w:p w14:paraId="49061762" w14:textId="37A0E42A" w:rsidR="00996E6A" w:rsidRDefault="00996E6A" w:rsidP="00996E6A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 w:rsidR="00E523BB">
        <w:rPr>
          <w:rFonts w:cs="Arial"/>
          <w:b/>
        </w:rPr>
        <w:t>2</w:t>
      </w:r>
      <w:r w:rsidRPr="008A29F1">
        <w:rPr>
          <w:rFonts w:cs="Arial"/>
          <w:b/>
        </w:rPr>
        <w:t xml:space="preserve">: </w:t>
      </w:r>
      <w:r w:rsidR="004F0F03">
        <w:rPr>
          <w:rFonts w:cs="Arial"/>
          <w:b/>
        </w:rPr>
        <w:t>F</w:t>
      </w:r>
      <w:r w:rsidR="00B148C8">
        <w:rPr>
          <w:rFonts w:cs="Arial"/>
          <w:b/>
        </w:rPr>
        <w:t xml:space="preserve">or intra-SN selective SCG activation, </w:t>
      </w:r>
      <w:r w:rsidR="00B803E1">
        <w:rPr>
          <w:rFonts w:cs="Arial"/>
          <w:b/>
        </w:rPr>
        <w:t>RAN2 should reuse the same RRC model for candidate configuration and same delta signaling principle as in L1/L2 mobility.</w:t>
      </w:r>
    </w:p>
    <w:p w14:paraId="54B89A58" w14:textId="69FEEF94" w:rsidR="00996E6A" w:rsidRDefault="00996E6A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7439F92C" w14:textId="02A693DA" w:rsidR="00460A37" w:rsidRDefault="00BC5129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For inter-SN selective SCG activation, we are thinking probably the </w:t>
      </w:r>
      <w:r w:rsidR="00E4213C">
        <w:rPr>
          <w:rFonts w:eastAsiaTheme="minorEastAsia"/>
        </w:rPr>
        <w:t xml:space="preserve">full RRC message is needed for the </w:t>
      </w:r>
      <w:r w:rsidR="00E4213C" w:rsidRPr="003B5767">
        <w:rPr>
          <w:rFonts w:eastAsiaTheme="minorEastAsia"/>
        </w:rPr>
        <w:t xml:space="preserve">predefined </w:t>
      </w:r>
      <w:r w:rsidR="00E4213C">
        <w:rPr>
          <w:rFonts w:eastAsiaTheme="minorEastAsia"/>
        </w:rPr>
        <w:t xml:space="preserve">configuration (as in legacy CPC). The delta aspect is a little bit more complicate as the parameters to be updated is more in this scenario. Our suggestion is that the NW could prepare the </w:t>
      </w:r>
      <w:r w:rsidR="00E4213C" w:rsidRPr="003B5767">
        <w:rPr>
          <w:rFonts w:eastAsiaTheme="minorEastAsia"/>
        </w:rPr>
        <w:t xml:space="preserve">predefined </w:t>
      </w:r>
      <w:r w:rsidR="00E4213C">
        <w:rPr>
          <w:rFonts w:eastAsiaTheme="minorEastAsia"/>
        </w:rPr>
        <w:t xml:space="preserve">configuration so that </w:t>
      </w:r>
      <w:r w:rsidR="004E79FA">
        <w:rPr>
          <w:rFonts w:eastAsiaTheme="minorEastAsia"/>
        </w:rPr>
        <w:t xml:space="preserve">different predefined configuration </w:t>
      </w:r>
      <w:r w:rsidR="004E79FA" w:rsidRPr="0063503B">
        <w:rPr>
          <w:rFonts w:eastAsiaTheme="minorEastAsia"/>
          <w:u w:val="single"/>
        </w:rPr>
        <w:t>contains same parameters</w:t>
      </w:r>
      <w:r w:rsidR="004E79FA">
        <w:rPr>
          <w:rFonts w:eastAsiaTheme="minorEastAsia"/>
        </w:rPr>
        <w:t xml:space="preserve">. In this case, the delta against “current” configuration is always correct no matter current configuration is </w:t>
      </w:r>
      <w:r w:rsidR="00D73315">
        <w:rPr>
          <w:rFonts w:eastAsiaTheme="minorEastAsia"/>
        </w:rPr>
        <w:t xml:space="preserve">already </w:t>
      </w:r>
      <w:r w:rsidR="004E79FA">
        <w:rPr>
          <w:rFonts w:eastAsiaTheme="minorEastAsia"/>
        </w:rPr>
        <w:t xml:space="preserve">updated by other predefined configuration or not. The UE could always apply predefined configuration against </w:t>
      </w:r>
      <w:r w:rsidR="008B3351">
        <w:rPr>
          <w:rFonts w:eastAsiaTheme="minorEastAsia"/>
        </w:rPr>
        <w:t>“</w:t>
      </w:r>
      <w:r w:rsidR="004E79FA">
        <w:rPr>
          <w:rFonts w:eastAsiaTheme="minorEastAsia"/>
        </w:rPr>
        <w:t>current</w:t>
      </w:r>
      <w:r w:rsidR="008B3351">
        <w:rPr>
          <w:rFonts w:eastAsiaTheme="minorEastAsia"/>
        </w:rPr>
        <w:t>”</w:t>
      </w:r>
      <w:r w:rsidR="004E79FA">
        <w:rPr>
          <w:rFonts w:eastAsiaTheme="minorEastAsia"/>
        </w:rPr>
        <w:t xml:space="preserve"> configuration if </w:t>
      </w:r>
      <w:r w:rsidR="00D73315">
        <w:rPr>
          <w:rFonts w:eastAsiaTheme="minorEastAsia"/>
        </w:rPr>
        <w:t xml:space="preserve">the </w:t>
      </w:r>
      <w:r w:rsidR="004E79FA">
        <w:rPr>
          <w:rFonts w:eastAsiaTheme="minorEastAsia"/>
        </w:rPr>
        <w:t xml:space="preserve">triggering condition is met. </w:t>
      </w:r>
    </w:p>
    <w:p w14:paraId="3265FC43" w14:textId="0D8B604C" w:rsidR="009A2C2D" w:rsidRDefault="009A2C2D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3023E62C" w14:textId="5AB3FF8C" w:rsidR="009A2C2D" w:rsidRDefault="009A2C2D" w:rsidP="009A2C2D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 w:rsidR="00E523BB">
        <w:rPr>
          <w:rFonts w:cs="Arial"/>
          <w:b/>
        </w:rPr>
        <w:t>3</w:t>
      </w:r>
      <w:r w:rsidRPr="008A29F1">
        <w:rPr>
          <w:rFonts w:cs="Arial"/>
          <w:b/>
        </w:rPr>
        <w:t xml:space="preserve">: </w:t>
      </w:r>
      <w:r w:rsidR="004E79FA">
        <w:rPr>
          <w:rFonts w:cs="Arial"/>
          <w:b/>
        </w:rPr>
        <w:t xml:space="preserve">For delta configuration aspect of </w:t>
      </w:r>
      <w:bookmarkStart w:id="3" w:name="_Hlk115202831"/>
      <w:r w:rsidR="004E79FA">
        <w:rPr>
          <w:rFonts w:cs="Arial"/>
          <w:b/>
        </w:rPr>
        <w:t>selective SCG activation</w:t>
      </w:r>
      <w:bookmarkEnd w:id="3"/>
      <w:r w:rsidR="004E79FA">
        <w:rPr>
          <w:rFonts w:cs="Arial"/>
          <w:b/>
        </w:rPr>
        <w:t xml:space="preserve">, </w:t>
      </w:r>
      <w:r w:rsidR="00E4213C">
        <w:rPr>
          <w:rFonts w:cs="Arial"/>
          <w:b/>
        </w:rPr>
        <w:t xml:space="preserve">RAN2 consider </w:t>
      </w:r>
      <w:r w:rsidR="004E79FA">
        <w:rPr>
          <w:rFonts w:cs="Arial"/>
          <w:b/>
        </w:rPr>
        <w:t xml:space="preserve">to use </w:t>
      </w:r>
      <w:r w:rsidR="00E4213C">
        <w:rPr>
          <w:rFonts w:cs="Arial"/>
          <w:b/>
        </w:rPr>
        <w:t>N</w:t>
      </w:r>
      <w:r w:rsidR="006569F9">
        <w:rPr>
          <w:rFonts w:cs="Arial"/>
          <w:b/>
        </w:rPr>
        <w:t>etwork-</w:t>
      </w:r>
      <w:r w:rsidR="00E4213C">
        <w:rPr>
          <w:rFonts w:cs="Arial"/>
          <w:b/>
        </w:rPr>
        <w:t xml:space="preserve">based solution </w:t>
      </w:r>
      <w:r w:rsidR="004E79FA">
        <w:rPr>
          <w:rFonts w:cs="Arial"/>
          <w:b/>
        </w:rPr>
        <w:t xml:space="preserve">as baseline (i.e. </w:t>
      </w:r>
      <w:r w:rsidR="006569F9">
        <w:rPr>
          <w:rFonts w:cs="Arial"/>
          <w:b/>
        </w:rPr>
        <w:t xml:space="preserve">Network ensures </w:t>
      </w:r>
      <w:r w:rsidR="004E79FA">
        <w:rPr>
          <w:rFonts w:cs="Arial"/>
          <w:b/>
        </w:rPr>
        <w:t xml:space="preserve">the </w:t>
      </w:r>
      <w:r w:rsidR="004E79FA" w:rsidRPr="004E79FA">
        <w:rPr>
          <w:rFonts w:cs="Arial"/>
          <w:b/>
        </w:rPr>
        <w:t>predefined configuration</w:t>
      </w:r>
      <w:r w:rsidR="004E79FA">
        <w:rPr>
          <w:rFonts w:cs="Arial"/>
          <w:b/>
        </w:rPr>
        <w:t xml:space="preserve"> is valid no matter other predefined configuration is applied or not). </w:t>
      </w:r>
    </w:p>
    <w:p w14:paraId="36FA01CD" w14:textId="77777777" w:rsidR="009A2C2D" w:rsidRDefault="009A2C2D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3BA8D6A0" w14:textId="2BE5DB10" w:rsidR="00460A37" w:rsidRPr="00B94288" w:rsidRDefault="00460A37" w:rsidP="00460A37">
      <w:pPr>
        <w:pStyle w:val="Heading2"/>
        <w:rPr>
          <w:lang w:val="en-US" w:eastAsia="ko-KR"/>
        </w:rPr>
      </w:pPr>
      <w:r>
        <w:rPr>
          <w:lang w:val="en-US" w:eastAsia="ko-KR"/>
        </w:rPr>
        <w:t>2.</w:t>
      </w:r>
      <w:r w:rsidR="008445DD">
        <w:rPr>
          <w:lang w:val="en-US" w:eastAsia="ko-KR"/>
        </w:rPr>
        <w:t>3</w:t>
      </w:r>
      <w:r>
        <w:rPr>
          <w:lang w:val="en-US" w:eastAsia="ko-KR"/>
        </w:rPr>
        <w:t xml:space="preserve"> </w:t>
      </w:r>
      <w:r w:rsidR="00D6084D">
        <w:rPr>
          <w:lang w:val="en-US" w:eastAsia="ko-KR"/>
        </w:rPr>
        <w:t>Triggering condition</w:t>
      </w:r>
      <w:r w:rsidR="0002287C">
        <w:rPr>
          <w:lang w:val="en-US" w:eastAsia="ko-KR"/>
        </w:rPr>
        <w:t>s</w:t>
      </w:r>
    </w:p>
    <w:p w14:paraId="19E0FF33" w14:textId="249E6A95" w:rsidR="001B49F3" w:rsidRDefault="00F2463B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We think the </w:t>
      </w:r>
      <w:bookmarkStart w:id="4" w:name="_Hlk115203553"/>
      <w:r w:rsidR="001B49F3">
        <w:rPr>
          <w:rFonts w:eastAsiaTheme="minorEastAsia"/>
        </w:rPr>
        <w:t xml:space="preserve">trigger condition </w:t>
      </w:r>
      <w:bookmarkEnd w:id="4"/>
      <w:r>
        <w:rPr>
          <w:rFonts w:eastAsiaTheme="minorEastAsia"/>
        </w:rPr>
        <w:t xml:space="preserve">for selective SCG activation could largely reuse the design </w:t>
      </w:r>
      <w:r w:rsidR="008B3351">
        <w:rPr>
          <w:rFonts w:eastAsiaTheme="minorEastAsia"/>
        </w:rPr>
        <w:t>from</w:t>
      </w:r>
      <w:r>
        <w:rPr>
          <w:rFonts w:eastAsiaTheme="minorEastAsia"/>
        </w:rPr>
        <w:t xml:space="preserve"> legacy CPC</w:t>
      </w:r>
      <w:r w:rsidR="00D945AA">
        <w:rPr>
          <w:rFonts w:eastAsiaTheme="minorEastAsia"/>
        </w:rPr>
        <w:t>/CPA</w:t>
      </w:r>
      <w:r>
        <w:rPr>
          <w:rFonts w:eastAsiaTheme="minorEastAsia"/>
        </w:rPr>
        <w:t>.</w:t>
      </w:r>
      <w:r w:rsidR="00A65910">
        <w:rPr>
          <w:rFonts w:eastAsiaTheme="minorEastAsia"/>
        </w:rPr>
        <w:t xml:space="preserve"> There seems no clear motivation </w:t>
      </w:r>
      <w:r w:rsidR="00A87089">
        <w:rPr>
          <w:rFonts w:eastAsiaTheme="minorEastAsia"/>
        </w:rPr>
        <w:t>to</w:t>
      </w:r>
      <w:r w:rsidR="00A65910">
        <w:rPr>
          <w:rFonts w:eastAsiaTheme="minorEastAsia"/>
        </w:rPr>
        <w:t xml:space="preserve"> change the basic principle from CPC/CPA.</w:t>
      </w:r>
    </w:p>
    <w:p w14:paraId="7A14BA9D" w14:textId="77777777" w:rsidR="008A04C9" w:rsidRDefault="008A04C9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76CE4B15" w14:textId="651F0B74" w:rsidR="006569F9" w:rsidRDefault="00460A37" w:rsidP="00460A37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 w:rsidR="00E523BB">
        <w:rPr>
          <w:rFonts w:cs="Arial"/>
          <w:b/>
        </w:rPr>
        <w:t>4</w:t>
      </w:r>
      <w:r w:rsidRPr="008A29F1">
        <w:rPr>
          <w:rFonts w:cs="Arial"/>
          <w:b/>
        </w:rPr>
        <w:t xml:space="preserve">: </w:t>
      </w:r>
      <w:r w:rsidR="00F2463B">
        <w:rPr>
          <w:rFonts w:cs="Arial"/>
          <w:b/>
        </w:rPr>
        <w:t xml:space="preserve">For </w:t>
      </w:r>
      <w:r w:rsidR="00A65910" w:rsidRPr="00A65910">
        <w:rPr>
          <w:rFonts w:cs="Arial"/>
          <w:b/>
        </w:rPr>
        <w:t xml:space="preserve">trigger condition </w:t>
      </w:r>
      <w:r w:rsidR="00F02889">
        <w:rPr>
          <w:rFonts w:cs="Arial"/>
          <w:b/>
        </w:rPr>
        <w:t xml:space="preserve">in </w:t>
      </w:r>
      <w:r w:rsidR="00F2463B" w:rsidRPr="00F2463B">
        <w:rPr>
          <w:rFonts w:cs="Arial"/>
          <w:b/>
        </w:rPr>
        <w:t>selective SCG activation</w:t>
      </w:r>
      <w:r w:rsidR="00F2463B">
        <w:rPr>
          <w:rFonts w:cs="Arial"/>
          <w:b/>
        </w:rPr>
        <w:t>, r</w:t>
      </w:r>
      <w:r w:rsidR="001B5FAA">
        <w:rPr>
          <w:rFonts w:cs="Arial"/>
          <w:b/>
        </w:rPr>
        <w:t xml:space="preserve">euse </w:t>
      </w:r>
      <w:r w:rsidR="006569F9">
        <w:rPr>
          <w:rFonts w:cs="Arial"/>
          <w:b/>
        </w:rPr>
        <w:t xml:space="preserve">the </w:t>
      </w:r>
      <w:r w:rsidR="00271A93">
        <w:rPr>
          <w:rFonts w:cs="Arial"/>
          <w:b/>
        </w:rPr>
        <w:t>same</w:t>
      </w:r>
      <w:r w:rsidR="006569F9">
        <w:rPr>
          <w:rFonts w:cs="Arial"/>
          <w:b/>
        </w:rPr>
        <w:t xml:space="preserve"> conditional measurement events</w:t>
      </w:r>
      <w:r w:rsidR="00F2463B">
        <w:rPr>
          <w:rFonts w:cs="Arial"/>
          <w:b/>
        </w:rPr>
        <w:t xml:space="preserve"> </w:t>
      </w:r>
      <w:r w:rsidR="006569F9">
        <w:rPr>
          <w:rFonts w:cs="Arial"/>
          <w:b/>
        </w:rPr>
        <w:t>as in legacy</w:t>
      </w:r>
      <w:r w:rsidR="001B5FAA">
        <w:rPr>
          <w:rFonts w:cs="Arial"/>
          <w:b/>
        </w:rPr>
        <w:t xml:space="preserve"> CPC and CPA</w:t>
      </w:r>
      <w:r w:rsidR="006569F9">
        <w:rPr>
          <w:rFonts w:cs="Arial"/>
          <w:b/>
        </w:rPr>
        <w:t>.</w:t>
      </w:r>
    </w:p>
    <w:p w14:paraId="6DFA2258" w14:textId="51F7480B" w:rsidR="00460A37" w:rsidRDefault="00FE29E0" w:rsidP="006569F9">
      <w:pPr>
        <w:pStyle w:val="Doc-text2"/>
        <w:numPr>
          <w:ilvl w:val="0"/>
          <w:numId w:val="14"/>
        </w:numPr>
        <w:tabs>
          <w:tab w:val="left" w:pos="340"/>
        </w:tabs>
        <w:jc w:val="both"/>
        <w:rPr>
          <w:rFonts w:cs="Arial"/>
          <w:b/>
        </w:rPr>
      </w:pPr>
      <w:r>
        <w:rPr>
          <w:rFonts w:cs="Arial"/>
          <w:b/>
        </w:rPr>
        <w:t>Event A3 and A5 for CPC</w:t>
      </w:r>
    </w:p>
    <w:p w14:paraId="1693BD6B" w14:textId="62B0E7E5" w:rsidR="00FE29E0" w:rsidRDefault="00FE29E0" w:rsidP="006569F9">
      <w:pPr>
        <w:pStyle w:val="Doc-text2"/>
        <w:numPr>
          <w:ilvl w:val="0"/>
          <w:numId w:val="14"/>
        </w:numPr>
        <w:tabs>
          <w:tab w:val="left" w:pos="340"/>
        </w:tabs>
        <w:jc w:val="both"/>
        <w:rPr>
          <w:rFonts w:cs="Arial"/>
          <w:b/>
        </w:rPr>
      </w:pPr>
      <w:r>
        <w:rPr>
          <w:rFonts w:cs="Arial"/>
          <w:b/>
        </w:rPr>
        <w:t>Event A4 for CPA</w:t>
      </w:r>
    </w:p>
    <w:p w14:paraId="0852D853" w14:textId="263CBA54" w:rsidR="00D6084D" w:rsidRDefault="00D6084D" w:rsidP="00460A37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02C4FF96" w14:textId="137BD4AB" w:rsidR="00A65910" w:rsidRPr="00A65910" w:rsidRDefault="00A65910" w:rsidP="00460A37">
      <w:pPr>
        <w:pStyle w:val="Doc-text2"/>
        <w:tabs>
          <w:tab w:val="left" w:pos="340"/>
        </w:tabs>
        <w:ind w:left="0" w:firstLine="0"/>
        <w:jc w:val="both"/>
        <w:rPr>
          <w:rFonts w:cs="Arial"/>
          <w:bCs/>
        </w:rPr>
      </w:pPr>
      <w:r w:rsidRPr="00A65910">
        <w:rPr>
          <w:rFonts w:cs="Arial"/>
          <w:bCs/>
        </w:rPr>
        <w:t xml:space="preserve">In addition, </w:t>
      </w:r>
      <w:r>
        <w:rPr>
          <w:rFonts w:cs="Arial"/>
          <w:bCs/>
        </w:rPr>
        <w:t xml:space="preserve">as now the UE </w:t>
      </w:r>
      <w:r w:rsidR="00F02889">
        <w:rPr>
          <w:rFonts w:cs="Arial"/>
          <w:bCs/>
        </w:rPr>
        <w:t xml:space="preserve">has to keep </w:t>
      </w:r>
      <w:r w:rsidR="002E0B13">
        <w:rPr>
          <w:rFonts w:cs="Arial"/>
          <w:bCs/>
        </w:rPr>
        <w:t>triggering condition</w:t>
      </w:r>
      <w:r w:rsidR="009E6784">
        <w:rPr>
          <w:rFonts w:cs="Arial"/>
          <w:bCs/>
        </w:rPr>
        <w:t>s</w:t>
      </w:r>
      <w:r w:rsidR="002E0B13">
        <w:rPr>
          <w:rFonts w:cs="Arial"/>
          <w:bCs/>
        </w:rPr>
        <w:t xml:space="preserve"> </w:t>
      </w:r>
      <w:r w:rsidR="009E6784">
        <w:rPr>
          <w:rFonts w:cs="Arial"/>
          <w:bCs/>
        </w:rPr>
        <w:t>after</w:t>
      </w:r>
      <w:r w:rsidR="002E0B13">
        <w:rPr>
          <w:rFonts w:cs="Arial"/>
          <w:bCs/>
        </w:rPr>
        <w:t xml:space="preserve"> the conditional </w:t>
      </w:r>
      <w:proofErr w:type="spellStart"/>
      <w:r w:rsidR="001A401E">
        <w:rPr>
          <w:rFonts w:cs="Arial"/>
          <w:bCs/>
        </w:rPr>
        <w:t>PSCell</w:t>
      </w:r>
      <w:proofErr w:type="spellEnd"/>
      <w:r w:rsidR="001A401E">
        <w:rPr>
          <w:rFonts w:cs="Arial"/>
          <w:bCs/>
        </w:rPr>
        <w:t xml:space="preserve"> Change/Addition,</w:t>
      </w:r>
      <w:r w:rsidR="009E6784">
        <w:rPr>
          <w:rFonts w:cs="Arial"/>
          <w:bCs/>
        </w:rPr>
        <w:t xml:space="preserve"> it seems straightforward to have two set of triggering conditions</w:t>
      </w:r>
      <w:r w:rsidR="003E4041">
        <w:rPr>
          <w:rFonts w:cs="Arial"/>
          <w:bCs/>
        </w:rPr>
        <w:t xml:space="preserve"> (one for CPC and one for CPA) for one candidate </w:t>
      </w:r>
      <w:proofErr w:type="spellStart"/>
      <w:r w:rsidR="003E4041">
        <w:rPr>
          <w:rFonts w:cs="Arial"/>
          <w:bCs/>
        </w:rPr>
        <w:t>PSCell</w:t>
      </w:r>
      <w:proofErr w:type="spellEnd"/>
      <w:r w:rsidR="003E4041">
        <w:rPr>
          <w:rFonts w:cs="Arial"/>
          <w:bCs/>
        </w:rPr>
        <w:t xml:space="preserve">. The UE evaluates the triggers conditional for CPA while </w:t>
      </w:r>
      <w:r w:rsidR="008B3351">
        <w:rPr>
          <w:rFonts w:cs="Arial"/>
          <w:bCs/>
        </w:rPr>
        <w:t xml:space="preserve">there is </w:t>
      </w:r>
      <w:r w:rsidR="003E4041">
        <w:rPr>
          <w:rFonts w:cs="Arial"/>
          <w:bCs/>
        </w:rPr>
        <w:t xml:space="preserve">no </w:t>
      </w:r>
      <w:proofErr w:type="spellStart"/>
      <w:r w:rsidR="003E4041">
        <w:rPr>
          <w:rFonts w:cs="Arial"/>
          <w:bCs/>
        </w:rPr>
        <w:t>PSCell</w:t>
      </w:r>
      <w:proofErr w:type="spellEnd"/>
      <w:r w:rsidR="003E4041">
        <w:rPr>
          <w:rFonts w:cs="Arial"/>
          <w:bCs/>
        </w:rPr>
        <w:t xml:space="preserve"> is current configuration. </w:t>
      </w:r>
      <w:r w:rsidR="00B3342D">
        <w:rPr>
          <w:rFonts w:cs="Arial"/>
          <w:bCs/>
        </w:rPr>
        <w:t>After CPA triggered,</w:t>
      </w:r>
      <w:r w:rsidR="003E4041">
        <w:rPr>
          <w:rFonts w:cs="Arial"/>
          <w:bCs/>
        </w:rPr>
        <w:t xml:space="preserve"> the UE evaluates the triggers conditional for CPC.</w:t>
      </w:r>
    </w:p>
    <w:p w14:paraId="29A2F91C" w14:textId="77777777" w:rsidR="00A65910" w:rsidRDefault="00A65910" w:rsidP="00460A37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0A918EEE" w14:textId="457810DD" w:rsidR="00D6084D" w:rsidRDefault="00D6084D" w:rsidP="00460A37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>
        <w:rPr>
          <w:rFonts w:cs="Arial"/>
          <w:b/>
        </w:rPr>
        <w:t xml:space="preserve">Proposal </w:t>
      </w:r>
      <w:r w:rsidR="00E523BB">
        <w:rPr>
          <w:rFonts w:cs="Arial"/>
          <w:b/>
        </w:rPr>
        <w:t>5</w:t>
      </w:r>
      <w:r>
        <w:rPr>
          <w:rFonts w:cs="Arial"/>
          <w:b/>
        </w:rPr>
        <w:t xml:space="preserve">: </w:t>
      </w:r>
      <w:r w:rsidR="002E0B13">
        <w:rPr>
          <w:rFonts w:cs="Arial"/>
          <w:b/>
        </w:rPr>
        <w:t>In selective SCG activation, t</w:t>
      </w:r>
      <w:r>
        <w:rPr>
          <w:rFonts w:cs="Arial"/>
          <w:b/>
        </w:rPr>
        <w:t xml:space="preserve">wo </w:t>
      </w:r>
      <w:r w:rsidR="002E0B13">
        <w:rPr>
          <w:rFonts w:cs="Arial"/>
          <w:b/>
        </w:rPr>
        <w:t xml:space="preserve">set of </w:t>
      </w:r>
      <w:r>
        <w:rPr>
          <w:rFonts w:cs="Arial"/>
          <w:b/>
        </w:rPr>
        <w:t>trigger condition</w:t>
      </w:r>
      <w:r w:rsidR="002E0B13">
        <w:rPr>
          <w:rFonts w:cs="Arial"/>
          <w:b/>
        </w:rPr>
        <w:t xml:space="preserve">s could be configured for one candidate </w:t>
      </w:r>
      <w:proofErr w:type="spellStart"/>
      <w:r w:rsidR="002E0B13">
        <w:rPr>
          <w:rFonts w:cs="Arial"/>
          <w:b/>
        </w:rPr>
        <w:t>PSCell</w:t>
      </w:r>
      <w:proofErr w:type="spellEnd"/>
      <w:r w:rsidR="002E0B13">
        <w:rPr>
          <w:rFonts w:cs="Arial"/>
          <w:b/>
        </w:rPr>
        <w:t xml:space="preserve">. One set of </w:t>
      </w:r>
      <w:r w:rsidR="008B3351">
        <w:rPr>
          <w:rFonts w:cs="Arial"/>
          <w:b/>
        </w:rPr>
        <w:t xml:space="preserve">the trigger </w:t>
      </w:r>
      <w:r w:rsidR="002E0B13">
        <w:rPr>
          <w:rFonts w:cs="Arial"/>
          <w:b/>
        </w:rPr>
        <w:t>condition is used for</w:t>
      </w:r>
      <w:r>
        <w:rPr>
          <w:rFonts w:cs="Arial"/>
          <w:b/>
        </w:rPr>
        <w:t xml:space="preserve"> </w:t>
      </w:r>
      <w:r w:rsidR="001A401E">
        <w:rPr>
          <w:rFonts w:cs="Arial"/>
          <w:b/>
        </w:rPr>
        <w:t>CPC and the other set is used for CPA.</w:t>
      </w:r>
    </w:p>
    <w:p w14:paraId="604B1671" w14:textId="589D151F" w:rsidR="00460A37" w:rsidRDefault="00460A37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418F266F" w14:textId="252D60AE" w:rsidR="001A23AD" w:rsidRPr="00B94288" w:rsidRDefault="001A23AD" w:rsidP="001A23AD">
      <w:pPr>
        <w:pStyle w:val="Heading2"/>
        <w:rPr>
          <w:lang w:val="en-US" w:eastAsia="ko-KR"/>
        </w:rPr>
      </w:pPr>
      <w:r>
        <w:rPr>
          <w:lang w:val="en-US" w:eastAsia="ko-KR"/>
        </w:rPr>
        <w:t>2.</w:t>
      </w:r>
      <w:r w:rsidR="008445DD">
        <w:rPr>
          <w:lang w:val="en-US" w:eastAsia="ko-KR"/>
        </w:rPr>
        <w:t>4</w:t>
      </w:r>
      <w:r>
        <w:rPr>
          <w:lang w:val="en-US" w:eastAsia="ko-KR"/>
        </w:rPr>
        <w:t xml:space="preserve"> </w:t>
      </w:r>
      <w:r w:rsidR="00DF3EC9">
        <w:rPr>
          <w:lang w:val="en-US" w:eastAsia="ko-KR"/>
        </w:rPr>
        <w:t>Security aspects</w:t>
      </w:r>
    </w:p>
    <w:p w14:paraId="7A64345C" w14:textId="36A3AAB2" w:rsidR="00A244F0" w:rsidRDefault="00CF29FD" w:rsidP="001A23AD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RAN2 briefly discuss the security aspects for selective CG activation but no </w:t>
      </w:r>
      <w:r w:rsidR="00313D03">
        <w:rPr>
          <w:rFonts w:eastAsiaTheme="minorEastAsia"/>
        </w:rPr>
        <w:t>conclusion</w:t>
      </w:r>
      <w:r>
        <w:rPr>
          <w:rFonts w:eastAsiaTheme="minorEastAsia"/>
        </w:rPr>
        <w:t xml:space="preserve"> in last meeting. If now we focus on SCG only, </w:t>
      </w:r>
      <w:r w:rsidR="00824844">
        <w:rPr>
          <w:rFonts w:eastAsiaTheme="minorEastAsia"/>
        </w:rPr>
        <w:t>the security aspect is simpler</w:t>
      </w:r>
      <w:r w:rsidR="00285D0D">
        <w:rPr>
          <w:rFonts w:eastAsiaTheme="minorEastAsia"/>
        </w:rPr>
        <w:t>.</w:t>
      </w:r>
      <w:r w:rsidR="00824844">
        <w:rPr>
          <w:rFonts w:eastAsiaTheme="minorEastAsia"/>
        </w:rPr>
        <w:t xml:space="preserve"> </w:t>
      </w:r>
      <w:r w:rsidR="00285D0D">
        <w:rPr>
          <w:rFonts w:eastAsiaTheme="minorEastAsia"/>
        </w:rPr>
        <w:t>W</w:t>
      </w:r>
      <w:r w:rsidR="00824844">
        <w:rPr>
          <w:rFonts w:eastAsiaTheme="minorEastAsia"/>
        </w:rPr>
        <w:t>e can discuss two different cases</w:t>
      </w:r>
      <w:r w:rsidR="00A244F0">
        <w:rPr>
          <w:rFonts w:eastAsiaTheme="minorEastAsia"/>
        </w:rPr>
        <w:t xml:space="preserve"> based whether the subsequent CPC is </w:t>
      </w:r>
      <w:r w:rsidR="00824844">
        <w:rPr>
          <w:rFonts w:eastAsiaTheme="minorEastAsia"/>
        </w:rPr>
        <w:t xml:space="preserve">intra-SN CPC and </w:t>
      </w:r>
      <w:r w:rsidR="00A244F0">
        <w:rPr>
          <w:rFonts w:eastAsiaTheme="minorEastAsia"/>
        </w:rPr>
        <w:t>inter-SN CPC.</w:t>
      </w:r>
    </w:p>
    <w:p w14:paraId="4F4D6BF5" w14:textId="77777777" w:rsidR="00A244F0" w:rsidRDefault="00A244F0" w:rsidP="001A23AD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2BC24F2F" w14:textId="09C71C9A" w:rsidR="001A23AD" w:rsidRDefault="00A244F0" w:rsidP="001A23AD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In legacy </w:t>
      </w:r>
      <w:proofErr w:type="spellStart"/>
      <w:r>
        <w:rPr>
          <w:rFonts w:eastAsiaTheme="minorEastAsia"/>
        </w:rPr>
        <w:t>PSCell</w:t>
      </w:r>
      <w:proofErr w:type="spellEnd"/>
      <w:r>
        <w:rPr>
          <w:rFonts w:eastAsiaTheme="minorEastAsia"/>
        </w:rPr>
        <w:t xml:space="preserve"> Change (conditional or not), whether the UE has to update the secondary security key (S-</w:t>
      </w:r>
      <w:proofErr w:type="spellStart"/>
      <w:r>
        <w:rPr>
          <w:rFonts w:eastAsiaTheme="minorEastAsia"/>
        </w:rPr>
        <w:t>KgNB</w:t>
      </w:r>
      <w:proofErr w:type="spellEnd"/>
      <w:r>
        <w:rPr>
          <w:rFonts w:eastAsiaTheme="minorEastAsia"/>
        </w:rPr>
        <w:t xml:space="preserve">) depends on whether </w:t>
      </w:r>
      <w:proofErr w:type="spellStart"/>
      <w:r w:rsidR="00CB7EF4" w:rsidRPr="00CB7EF4">
        <w:rPr>
          <w:rFonts w:eastAsiaTheme="minorEastAsia"/>
          <w:i/>
          <w:lang w:val="en-GB"/>
        </w:rPr>
        <w:t>sk</w:t>
      </w:r>
      <w:proofErr w:type="spellEnd"/>
      <w:r w:rsidR="00CB7EF4" w:rsidRPr="00CB7EF4">
        <w:rPr>
          <w:rFonts w:eastAsiaTheme="minorEastAsia"/>
          <w:i/>
          <w:lang w:val="en-GB"/>
        </w:rPr>
        <w:t>-Counter</w:t>
      </w:r>
      <w:r w:rsidR="00CB7EF4" w:rsidRPr="00CB7EF4">
        <w:rPr>
          <w:rFonts w:eastAsiaTheme="minorEastAsia"/>
          <w:lang w:val="en-GB"/>
        </w:rPr>
        <w:t xml:space="preserve"> </w:t>
      </w:r>
      <w:r>
        <w:rPr>
          <w:rFonts w:eastAsiaTheme="minorEastAsia"/>
        </w:rPr>
        <w:t xml:space="preserve">is included in </w:t>
      </w:r>
      <w:r w:rsidR="00F341B4">
        <w:rPr>
          <w:rFonts w:eastAsiaTheme="minorEastAsia"/>
        </w:rPr>
        <w:t xml:space="preserve">the Reconfiguration message. </w:t>
      </w:r>
      <w:r w:rsidR="00F341B4" w:rsidRPr="00962B3F">
        <w:t>The secondary key is derived from the master key</w:t>
      </w:r>
      <w:r w:rsidR="00BE5D2F">
        <w:t xml:space="preserve"> (K-</w:t>
      </w:r>
      <w:proofErr w:type="spellStart"/>
      <w:r w:rsidR="00BE5D2F">
        <w:t>gNB</w:t>
      </w:r>
      <w:proofErr w:type="spellEnd"/>
      <w:r w:rsidR="00BE5D2F">
        <w:t>)</w:t>
      </w:r>
      <w:r w:rsidR="00F341B4" w:rsidRPr="00962B3F">
        <w:t xml:space="preserve"> and </w:t>
      </w:r>
      <w:proofErr w:type="spellStart"/>
      <w:r w:rsidR="00F341B4" w:rsidRPr="00962B3F">
        <w:rPr>
          <w:i/>
        </w:rPr>
        <w:t>sk</w:t>
      </w:r>
      <w:proofErr w:type="spellEnd"/>
      <w:r w:rsidR="00F341B4" w:rsidRPr="00962B3F">
        <w:rPr>
          <w:i/>
        </w:rPr>
        <w:t>-Counter</w:t>
      </w:r>
      <w:r w:rsidR="00CB7EF4">
        <w:rPr>
          <w:rFonts w:eastAsiaTheme="minorEastAsia"/>
        </w:rPr>
        <w:t xml:space="preserve">. Since the master key is not changed in selective SCG activation scenario, the problem becomes </w:t>
      </w:r>
      <w:r w:rsidR="00BE5D2F">
        <w:rPr>
          <w:rFonts w:eastAsiaTheme="minorEastAsia"/>
        </w:rPr>
        <w:t xml:space="preserve">how to handle the </w:t>
      </w:r>
      <w:proofErr w:type="spellStart"/>
      <w:r w:rsidR="00BE5D2F" w:rsidRPr="00962B3F">
        <w:rPr>
          <w:i/>
        </w:rPr>
        <w:t>sk</w:t>
      </w:r>
      <w:proofErr w:type="spellEnd"/>
      <w:r w:rsidR="00BE5D2F" w:rsidRPr="00962B3F">
        <w:rPr>
          <w:i/>
        </w:rPr>
        <w:t>-Counter</w:t>
      </w:r>
      <w:r w:rsidR="00BE5D2F">
        <w:rPr>
          <w:rFonts w:eastAsiaTheme="minorEastAsia"/>
        </w:rPr>
        <w:t xml:space="preserve"> in subsequent CPC.</w:t>
      </w:r>
    </w:p>
    <w:p w14:paraId="43F3FDAD" w14:textId="6472291F" w:rsidR="001A401E" w:rsidRDefault="001A401E" w:rsidP="001A23AD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0AA06CCC" w14:textId="652820BF" w:rsidR="00FF1F0C" w:rsidRDefault="00FF1F0C" w:rsidP="001A23AD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For intra-SN CPC, we don’t see the need to update secondary key each </w:t>
      </w:r>
      <w:r w:rsidR="000C0848">
        <w:rPr>
          <w:rFonts w:eastAsiaTheme="minorEastAsia"/>
        </w:rPr>
        <w:t xml:space="preserve">time </w:t>
      </w:r>
      <w:r>
        <w:rPr>
          <w:rFonts w:eastAsiaTheme="minorEastAsia"/>
        </w:rPr>
        <w:t xml:space="preserve">CPC is performed. </w:t>
      </w:r>
      <w:r w:rsidR="000C0848">
        <w:rPr>
          <w:rFonts w:eastAsiaTheme="minorEastAsia"/>
        </w:rPr>
        <w:t xml:space="preserve">As the </w:t>
      </w:r>
      <w:proofErr w:type="spellStart"/>
      <w:r w:rsidR="000C0848">
        <w:rPr>
          <w:rFonts w:eastAsiaTheme="minorEastAsia"/>
        </w:rPr>
        <w:t>gNB</w:t>
      </w:r>
      <w:proofErr w:type="spellEnd"/>
      <w:r w:rsidR="000C0848">
        <w:rPr>
          <w:rFonts w:eastAsiaTheme="minorEastAsia"/>
        </w:rPr>
        <w:t xml:space="preserve"> is not change, using same secondary key should be allowed as in legacy. Our preference is no update on SCG security during this subsequent CPC for intra-SN scenario. If needed in some cases (e.g. avoiding same COUNT value in same key), the NW </w:t>
      </w:r>
      <w:r w:rsidR="00B37CFD">
        <w:rPr>
          <w:rFonts w:eastAsiaTheme="minorEastAsia"/>
        </w:rPr>
        <w:t>could trigger normal Reconfiguration to update the key.</w:t>
      </w:r>
    </w:p>
    <w:p w14:paraId="3DD2AF4A" w14:textId="77777777" w:rsidR="00FF1F0C" w:rsidRDefault="00FF1F0C" w:rsidP="001A23AD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1D4029C5" w14:textId="1E8441BA" w:rsidR="001A23AD" w:rsidRDefault="001A23AD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 w:rsidRPr="008A29F1">
        <w:rPr>
          <w:rFonts w:cs="Arial"/>
          <w:b/>
        </w:rPr>
        <w:t xml:space="preserve">Proposal </w:t>
      </w:r>
      <w:r w:rsidR="00E523BB">
        <w:rPr>
          <w:rFonts w:cs="Arial"/>
          <w:b/>
        </w:rPr>
        <w:t>6</w:t>
      </w:r>
      <w:r w:rsidRPr="008A29F1">
        <w:rPr>
          <w:rFonts w:cs="Arial"/>
          <w:b/>
        </w:rPr>
        <w:t xml:space="preserve">: </w:t>
      </w:r>
      <w:r w:rsidR="00F02889">
        <w:rPr>
          <w:rFonts w:cs="Arial"/>
          <w:b/>
        </w:rPr>
        <w:t>For intra-SN selective SCG activation</w:t>
      </w:r>
      <w:r w:rsidR="00D6084D">
        <w:rPr>
          <w:rFonts w:cs="Arial"/>
          <w:b/>
        </w:rPr>
        <w:t xml:space="preserve">, </w:t>
      </w:r>
      <w:r w:rsidR="00F02889">
        <w:rPr>
          <w:rFonts w:cs="Arial"/>
          <w:b/>
        </w:rPr>
        <w:t>RAN2 assume</w:t>
      </w:r>
      <w:r w:rsidR="00A244F0">
        <w:rPr>
          <w:rFonts w:cs="Arial"/>
          <w:b/>
        </w:rPr>
        <w:t>s that</w:t>
      </w:r>
      <w:r w:rsidR="00F02889">
        <w:rPr>
          <w:rFonts w:cs="Arial"/>
          <w:b/>
        </w:rPr>
        <w:t xml:space="preserve"> no security update in predefined configuration. </w:t>
      </w:r>
      <w:r w:rsidR="00A244F0">
        <w:rPr>
          <w:rFonts w:cs="Arial"/>
          <w:b/>
        </w:rPr>
        <w:t xml:space="preserve">If needed, the NW </w:t>
      </w:r>
      <w:r w:rsidR="00FF1F0C">
        <w:rPr>
          <w:rFonts w:cs="Arial"/>
          <w:b/>
        </w:rPr>
        <w:t>can</w:t>
      </w:r>
      <w:r w:rsidR="00A244F0">
        <w:rPr>
          <w:rFonts w:cs="Arial"/>
          <w:b/>
        </w:rPr>
        <w:t xml:space="preserve"> update the secondary key via normal RRC Reconfiguration. </w:t>
      </w:r>
    </w:p>
    <w:p w14:paraId="38C1D672" w14:textId="5BA4B7B8" w:rsidR="00165380" w:rsidRDefault="00165380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36ED94DF" w14:textId="3F357B44" w:rsidR="00B83296" w:rsidRDefault="00B83296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 xml:space="preserve">The scenario of inter-SN is slightly more complicate, </w:t>
      </w:r>
      <w:r w:rsidR="00875D5B">
        <w:rPr>
          <w:rFonts w:eastAsiaTheme="minorEastAsia"/>
        </w:rPr>
        <w:t xml:space="preserve">it is expected that </w:t>
      </w:r>
      <w:proofErr w:type="spellStart"/>
      <w:r w:rsidR="00875D5B" w:rsidRPr="00962B3F">
        <w:rPr>
          <w:i/>
        </w:rPr>
        <w:t>sk</w:t>
      </w:r>
      <w:proofErr w:type="spellEnd"/>
      <w:r w:rsidR="00875D5B" w:rsidRPr="00962B3F">
        <w:rPr>
          <w:i/>
        </w:rPr>
        <w:t>-Counter</w:t>
      </w:r>
      <w:r w:rsidR="00875D5B">
        <w:rPr>
          <w:rFonts w:eastAsiaTheme="minorEastAsia"/>
        </w:rPr>
        <w:t xml:space="preserve"> to be provided in the predefined configuration. The question is whether </w:t>
      </w:r>
      <w:r w:rsidR="00CD2940">
        <w:rPr>
          <w:rFonts w:eastAsiaTheme="minorEastAsia"/>
        </w:rPr>
        <w:t xml:space="preserve">UE could </w:t>
      </w:r>
      <w:r w:rsidR="00CD2940" w:rsidRPr="00285D0D">
        <w:rPr>
          <w:rFonts w:eastAsiaTheme="minorEastAsia"/>
          <w:i/>
          <w:iCs/>
        </w:rPr>
        <w:t>reuse</w:t>
      </w:r>
      <w:r w:rsidR="00CD2940">
        <w:rPr>
          <w:rFonts w:eastAsiaTheme="minorEastAsia"/>
        </w:rPr>
        <w:t xml:space="preserve"> the same </w:t>
      </w:r>
      <w:proofErr w:type="spellStart"/>
      <w:r w:rsidR="00CD2940" w:rsidRPr="00962B3F">
        <w:rPr>
          <w:i/>
        </w:rPr>
        <w:t>sk</w:t>
      </w:r>
      <w:proofErr w:type="spellEnd"/>
      <w:r w:rsidR="00CD2940" w:rsidRPr="00962B3F">
        <w:rPr>
          <w:i/>
        </w:rPr>
        <w:t>-Counter</w:t>
      </w:r>
      <w:r w:rsidR="00CD2940">
        <w:rPr>
          <w:rFonts w:eastAsiaTheme="minorEastAsia"/>
        </w:rPr>
        <w:t xml:space="preserve"> </w:t>
      </w:r>
      <w:r w:rsidR="00F85AE0">
        <w:rPr>
          <w:rFonts w:eastAsiaTheme="minorEastAsia"/>
        </w:rPr>
        <w:t xml:space="preserve">if activating the same SCG for the second (or more) time. </w:t>
      </w:r>
      <w:r w:rsidR="002E4E1A">
        <w:rPr>
          <w:rFonts w:eastAsiaTheme="minorEastAsia"/>
        </w:rPr>
        <w:t xml:space="preserve">In our view, it seems better to update the key while switching back to same </w:t>
      </w:r>
      <w:proofErr w:type="spellStart"/>
      <w:r w:rsidR="002E4E1A">
        <w:rPr>
          <w:rFonts w:eastAsiaTheme="minorEastAsia"/>
        </w:rPr>
        <w:t>gNB</w:t>
      </w:r>
      <w:proofErr w:type="spellEnd"/>
      <w:r w:rsidR="002E4E1A">
        <w:rPr>
          <w:rFonts w:eastAsiaTheme="minorEastAsia"/>
        </w:rPr>
        <w:t xml:space="preserve"> to avoid potential security issue.</w:t>
      </w:r>
      <w:r w:rsidR="00985525">
        <w:rPr>
          <w:rFonts w:eastAsiaTheme="minorEastAsia"/>
        </w:rPr>
        <w:t xml:space="preserve"> To update secondary key </w:t>
      </w:r>
      <w:r w:rsidR="007078BC">
        <w:rPr>
          <w:rFonts w:eastAsiaTheme="minorEastAsia"/>
        </w:rPr>
        <w:t>every time</w:t>
      </w:r>
      <w:r w:rsidR="00985525">
        <w:rPr>
          <w:rFonts w:eastAsiaTheme="minorEastAsia"/>
        </w:rPr>
        <w:t xml:space="preserve"> a SCG is activated, the NW could provide a list of </w:t>
      </w:r>
      <w:proofErr w:type="spellStart"/>
      <w:r w:rsidR="00985525" w:rsidRPr="00962B3F">
        <w:rPr>
          <w:i/>
        </w:rPr>
        <w:t>sk</w:t>
      </w:r>
      <w:proofErr w:type="spellEnd"/>
      <w:r w:rsidR="00985525" w:rsidRPr="00962B3F">
        <w:rPr>
          <w:i/>
        </w:rPr>
        <w:t>-Counter</w:t>
      </w:r>
      <w:r w:rsidR="007078BC">
        <w:rPr>
          <w:rFonts w:eastAsiaTheme="minorEastAsia"/>
        </w:rPr>
        <w:t>.</w:t>
      </w:r>
      <w:r w:rsidR="00985525">
        <w:rPr>
          <w:rFonts w:eastAsiaTheme="minorEastAsia"/>
        </w:rPr>
        <w:t xml:space="preserve"> </w:t>
      </w:r>
      <w:r w:rsidR="007078BC">
        <w:rPr>
          <w:rFonts w:eastAsiaTheme="minorEastAsia"/>
        </w:rPr>
        <w:t>T</w:t>
      </w:r>
      <w:r w:rsidR="00985525">
        <w:rPr>
          <w:rFonts w:eastAsiaTheme="minorEastAsia"/>
        </w:rPr>
        <w:t xml:space="preserve">he </w:t>
      </w:r>
      <w:r w:rsidR="00CA0C91">
        <w:rPr>
          <w:rFonts w:eastAsiaTheme="minorEastAsia"/>
        </w:rPr>
        <w:t xml:space="preserve">UE applies the first </w:t>
      </w:r>
      <w:proofErr w:type="spellStart"/>
      <w:r w:rsidR="00CA0C91" w:rsidRPr="00962B3F">
        <w:rPr>
          <w:i/>
        </w:rPr>
        <w:t>sk</w:t>
      </w:r>
      <w:proofErr w:type="spellEnd"/>
      <w:r w:rsidR="00CA0C91" w:rsidRPr="00962B3F">
        <w:rPr>
          <w:i/>
        </w:rPr>
        <w:t>-Counter</w:t>
      </w:r>
      <w:r w:rsidR="00CA0C91">
        <w:rPr>
          <w:rFonts w:eastAsiaTheme="minorEastAsia"/>
        </w:rPr>
        <w:t xml:space="preserve"> to activate the SCG for the first time switching to that SCG, the UE applies the second </w:t>
      </w:r>
      <w:proofErr w:type="spellStart"/>
      <w:r w:rsidR="00CA0C91" w:rsidRPr="00962B3F">
        <w:rPr>
          <w:i/>
        </w:rPr>
        <w:t>sk</w:t>
      </w:r>
      <w:proofErr w:type="spellEnd"/>
      <w:r w:rsidR="00CA0C91" w:rsidRPr="00962B3F">
        <w:rPr>
          <w:i/>
        </w:rPr>
        <w:t>-Counter</w:t>
      </w:r>
      <w:r w:rsidR="00CA0C91">
        <w:rPr>
          <w:rFonts w:eastAsiaTheme="minorEastAsia"/>
        </w:rPr>
        <w:t xml:space="preserve"> to activate the SCG for the second time switching to that SCG, and so on.</w:t>
      </w:r>
      <w:r w:rsidR="00EB45DB">
        <w:rPr>
          <w:rFonts w:eastAsiaTheme="minorEastAsia"/>
        </w:rPr>
        <w:t xml:space="preserve"> The UE shall not trigger CPC to a candidate SCG if all </w:t>
      </w:r>
      <w:proofErr w:type="spellStart"/>
      <w:r w:rsidR="00EB45DB" w:rsidRPr="00962B3F">
        <w:rPr>
          <w:i/>
        </w:rPr>
        <w:t>sk</w:t>
      </w:r>
      <w:proofErr w:type="spellEnd"/>
      <w:r w:rsidR="00EB45DB" w:rsidRPr="00962B3F">
        <w:rPr>
          <w:i/>
        </w:rPr>
        <w:t>-Counter</w:t>
      </w:r>
      <w:r w:rsidR="00EB45DB">
        <w:rPr>
          <w:rFonts w:eastAsiaTheme="minorEastAsia"/>
        </w:rPr>
        <w:t xml:space="preserve"> are already used for key derivation. </w:t>
      </w:r>
    </w:p>
    <w:p w14:paraId="30A48948" w14:textId="77777777" w:rsidR="00B83296" w:rsidRDefault="00B83296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7718634D" w14:textId="5384537E" w:rsidR="00D6084D" w:rsidRDefault="00D6084D" w:rsidP="00D6084D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 w:rsidR="00E523BB">
        <w:rPr>
          <w:rFonts w:cs="Arial"/>
          <w:b/>
        </w:rPr>
        <w:t>7</w:t>
      </w:r>
      <w:r w:rsidRPr="008A29F1">
        <w:rPr>
          <w:rFonts w:cs="Arial"/>
          <w:b/>
        </w:rPr>
        <w:t xml:space="preserve">: </w:t>
      </w:r>
      <w:r w:rsidR="00F02889">
        <w:rPr>
          <w:rFonts w:cs="Arial"/>
          <w:b/>
        </w:rPr>
        <w:t>For int</w:t>
      </w:r>
      <w:r w:rsidR="002E0B13">
        <w:rPr>
          <w:rFonts w:cs="Arial"/>
          <w:b/>
        </w:rPr>
        <w:t>er</w:t>
      </w:r>
      <w:r w:rsidR="00F02889">
        <w:rPr>
          <w:rFonts w:cs="Arial"/>
          <w:b/>
        </w:rPr>
        <w:t>-SN selective</w:t>
      </w:r>
      <w:r w:rsidR="00EB45DB">
        <w:rPr>
          <w:rFonts w:cs="Arial"/>
          <w:b/>
        </w:rPr>
        <w:t xml:space="preserve"> </w:t>
      </w:r>
      <w:r w:rsidR="00F02889">
        <w:rPr>
          <w:rFonts w:cs="Arial"/>
          <w:b/>
        </w:rPr>
        <w:t xml:space="preserve">SCG activation, </w:t>
      </w:r>
      <w:r w:rsidR="00FF1F0C">
        <w:rPr>
          <w:rFonts w:cs="Arial"/>
          <w:b/>
        </w:rPr>
        <w:t xml:space="preserve">RAN2 assumes </w:t>
      </w:r>
      <w:proofErr w:type="spellStart"/>
      <w:r w:rsidR="008134B2" w:rsidRPr="00AF401A">
        <w:rPr>
          <w:rFonts w:cs="Arial"/>
          <w:b/>
          <w:i/>
          <w:iCs/>
        </w:rPr>
        <w:t>sk</w:t>
      </w:r>
      <w:proofErr w:type="spellEnd"/>
      <w:r w:rsidR="008134B2" w:rsidRPr="00AF401A">
        <w:rPr>
          <w:rFonts w:cs="Arial"/>
          <w:b/>
          <w:i/>
          <w:iCs/>
        </w:rPr>
        <w:t>-counter</w:t>
      </w:r>
      <w:r w:rsidR="008134B2">
        <w:rPr>
          <w:rFonts w:cs="Arial"/>
          <w:b/>
        </w:rPr>
        <w:t xml:space="preserve"> is provided in </w:t>
      </w:r>
      <w:r w:rsidR="00AF401A">
        <w:rPr>
          <w:rFonts w:cs="Arial"/>
          <w:b/>
        </w:rPr>
        <w:t xml:space="preserve">the </w:t>
      </w:r>
      <w:r w:rsidR="008134B2">
        <w:rPr>
          <w:rFonts w:cs="Arial"/>
          <w:b/>
        </w:rPr>
        <w:t xml:space="preserve">pre-configuration. </w:t>
      </w:r>
      <w:r w:rsidR="00EB45DB">
        <w:rPr>
          <w:rFonts w:cs="Arial"/>
          <w:b/>
        </w:rPr>
        <w:t xml:space="preserve">The NW could configure a list of </w:t>
      </w:r>
      <w:proofErr w:type="spellStart"/>
      <w:r w:rsidR="00EB45DB" w:rsidRPr="00AF401A">
        <w:rPr>
          <w:rFonts w:cs="Arial"/>
          <w:b/>
          <w:i/>
          <w:iCs/>
        </w:rPr>
        <w:t>sk</w:t>
      </w:r>
      <w:proofErr w:type="spellEnd"/>
      <w:r w:rsidR="00EB45DB" w:rsidRPr="00AF401A">
        <w:rPr>
          <w:rFonts w:cs="Arial"/>
          <w:b/>
          <w:i/>
          <w:iCs/>
        </w:rPr>
        <w:t>-counter</w:t>
      </w:r>
      <w:r w:rsidR="00EB45DB">
        <w:rPr>
          <w:rFonts w:cs="Arial"/>
          <w:b/>
        </w:rPr>
        <w:t xml:space="preserve">. </w:t>
      </w:r>
      <w:r w:rsidR="008134B2">
        <w:rPr>
          <w:rFonts w:cs="Arial"/>
          <w:b/>
        </w:rPr>
        <w:t xml:space="preserve">The UE </w:t>
      </w:r>
      <w:r w:rsidR="00EB45DB">
        <w:rPr>
          <w:rFonts w:cs="Arial"/>
          <w:b/>
        </w:rPr>
        <w:t>derive</w:t>
      </w:r>
      <w:r w:rsidR="008134B2">
        <w:rPr>
          <w:rFonts w:cs="Arial"/>
          <w:b/>
        </w:rPr>
        <w:t xml:space="preserve"> secondary key base </w:t>
      </w:r>
      <w:r w:rsidR="00354D49">
        <w:rPr>
          <w:rFonts w:cs="Arial"/>
          <w:b/>
        </w:rPr>
        <w:t xml:space="preserve">on </w:t>
      </w:r>
      <w:r w:rsidR="008134B2">
        <w:rPr>
          <w:rFonts w:cs="Arial"/>
          <w:b/>
        </w:rPr>
        <w:t>master key and</w:t>
      </w:r>
      <w:r w:rsidR="0025396B">
        <w:rPr>
          <w:rFonts w:cs="Arial"/>
          <w:b/>
        </w:rPr>
        <w:t xml:space="preserve"> </w:t>
      </w:r>
      <w:r w:rsidR="00EB45DB">
        <w:rPr>
          <w:rFonts w:cs="Arial"/>
          <w:b/>
        </w:rPr>
        <w:t>the N</w:t>
      </w:r>
      <w:r w:rsidR="00EB45DB" w:rsidRPr="00EB45DB">
        <w:rPr>
          <w:rFonts w:cs="Arial"/>
          <w:b/>
          <w:vertAlign w:val="superscript"/>
        </w:rPr>
        <w:t>th</w:t>
      </w:r>
      <w:r w:rsidR="00EB45DB">
        <w:rPr>
          <w:rFonts w:cs="Arial"/>
          <w:b/>
        </w:rPr>
        <w:t xml:space="preserve"> </w:t>
      </w:r>
      <w:r w:rsidR="0025396B">
        <w:rPr>
          <w:rFonts w:cs="Arial"/>
          <w:b/>
        </w:rPr>
        <w:t>provided</w:t>
      </w:r>
      <w:r w:rsidR="008134B2">
        <w:rPr>
          <w:rFonts w:cs="Arial"/>
          <w:b/>
        </w:rPr>
        <w:t xml:space="preserve"> </w:t>
      </w:r>
      <w:proofErr w:type="spellStart"/>
      <w:r w:rsidR="009273F7" w:rsidRPr="00AF401A">
        <w:rPr>
          <w:rFonts w:cs="Arial"/>
          <w:b/>
          <w:i/>
          <w:iCs/>
        </w:rPr>
        <w:t>sk</w:t>
      </w:r>
      <w:proofErr w:type="spellEnd"/>
      <w:r w:rsidR="009273F7" w:rsidRPr="00AF401A">
        <w:rPr>
          <w:rFonts w:cs="Arial"/>
          <w:b/>
          <w:i/>
          <w:iCs/>
        </w:rPr>
        <w:t>-counter</w:t>
      </w:r>
      <w:r w:rsidR="008134B2">
        <w:rPr>
          <w:rFonts w:cs="Arial"/>
          <w:b/>
        </w:rPr>
        <w:t xml:space="preserve"> </w:t>
      </w:r>
      <w:r w:rsidR="00EB45DB">
        <w:rPr>
          <w:rFonts w:cs="Arial"/>
          <w:b/>
        </w:rPr>
        <w:t>for the N</w:t>
      </w:r>
      <w:r w:rsidR="00EB45DB" w:rsidRPr="00EB45DB">
        <w:rPr>
          <w:rFonts w:cs="Arial"/>
          <w:b/>
          <w:vertAlign w:val="superscript"/>
        </w:rPr>
        <w:t>th</w:t>
      </w:r>
      <w:r w:rsidR="00EB45DB">
        <w:rPr>
          <w:rFonts w:cs="Arial"/>
          <w:b/>
        </w:rPr>
        <w:t xml:space="preserve"> time activating the SCG.</w:t>
      </w:r>
    </w:p>
    <w:p w14:paraId="65047564" w14:textId="69AC3A9B" w:rsidR="00D6084D" w:rsidRDefault="00D6084D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0F514266" w14:textId="2AFFF471" w:rsidR="00F82EF3" w:rsidRDefault="00F82EF3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In summary, we expect one candidate </w:t>
      </w:r>
      <w:proofErr w:type="spellStart"/>
      <w:r>
        <w:rPr>
          <w:rFonts w:eastAsiaTheme="minorEastAsia"/>
        </w:rPr>
        <w:t>PSCell</w:t>
      </w:r>
      <w:proofErr w:type="spellEnd"/>
      <w:r>
        <w:rPr>
          <w:rFonts w:eastAsiaTheme="minorEastAsia"/>
        </w:rPr>
        <w:t xml:space="preserve"> </w:t>
      </w:r>
      <w:r w:rsidR="00914140">
        <w:rPr>
          <w:rFonts w:eastAsiaTheme="minorEastAsia"/>
        </w:rPr>
        <w:t xml:space="preserve">configuration (for inter-SN case) will include the </w:t>
      </w:r>
      <w:r w:rsidR="0025396B">
        <w:rPr>
          <w:rFonts w:eastAsiaTheme="minorEastAsia"/>
        </w:rPr>
        <w:t xml:space="preserve">triggering event, </w:t>
      </w:r>
      <w:proofErr w:type="spellStart"/>
      <w:r w:rsidR="0025396B">
        <w:rPr>
          <w:rFonts w:eastAsiaTheme="minorEastAsia"/>
        </w:rPr>
        <w:t>sk</w:t>
      </w:r>
      <w:proofErr w:type="spellEnd"/>
      <w:r w:rsidR="0025396B">
        <w:rPr>
          <w:rFonts w:eastAsiaTheme="minorEastAsia"/>
        </w:rPr>
        <w:t xml:space="preserve"> counter list, and the predefined configuration as illustrated below.</w:t>
      </w:r>
    </w:p>
    <w:p w14:paraId="5FC17F7D" w14:textId="77777777" w:rsidR="00F82EF3" w:rsidRDefault="00F82EF3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5F2E0780" w14:textId="24EE6189" w:rsidR="0063503B" w:rsidRDefault="0063503B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Candidate </w:t>
      </w:r>
      <w:proofErr w:type="spellStart"/>
      <w:r>
        <w:rPr>
          <w:rFonts w:eastAsiaTheme="minorEastAsia"/>
        </w:rPr>
        <w:t>PSCell</w:t>
      </w:r>
      <w:proofErr w:type="spellEnd"/>
      <w:r>
        <w:rPr>
          <w:rFonts w:eastAsiaTheme="minorEastAsia"/>
        </w:rPr>
        <w:t xml:space="preserve"> </w:t>
      </w:r>
      <w:r w:rsidR="0062435A">
        <w:rPr>
          <w:rFonts w:eastAsiaTheme="minorEastAsia"/>
        </w:rPr>
        <w:t xml:space="preserve">Configuration </w:t>
      </w:r>
    </w:p>
    <w:p w14:paraId="6ED3D3B7" w14:textId="68209B62" w:rsidR="007C11F8" w:rsidRDefault="007C11F8" w:rsidP="007C11F8">
      <w:pPr>
        <w:pStyle w:val="Doc-text2"/>
        <w:numPr>
          <w:ilvl w:val="0"/>
          <w:numId w:val="15"/>
        </w:numPr>
        <w:tabs>
          <w:tab w:val="left" w:pos="340"/>
        </w:tabs>
        <w:jc w:val="both"/>
        <w:rPr>
          <w:rFonts w:eastAsiaTheme="minorEastAsia"/>
        </w:rPr>
      </w:pPr>
      <w:r>
        <w:rPr>
          <w:rFonts w:eastAsiaTheme="minorEastAsia"/>
        </w:rPr>
        <w:t xml:space="preserve">Trigger Event </w:t>
      </w:r>
      <w:proofErr w:type="spellStart"/>
      <w:r>
        <w:rPr>
          <w:rFonts w:eastAsiaTheme="minorEastAsia"/>
        </w:rPr>
        <w:t>Cfg</w:t>
      </w:r>
      <w:proofErr w:type="spellEnd"/>
    </w:p>
    <w:p w14:paraId="45F5FDE8" w14:textId="442827F1" w:rsidR="0062435A" w:rsidRDefault="0062435A" w:rsidP="0062435A">
      <w:pPr>
        <w:pStyle w:val="Doc-text2"/>
        <w:numPr>
          <w:ilvl w:val="1"/>
          <w:numId w:val="15"/>
        </w:numPr>
        <w:tabs>
          <w:tab w:val="left" w:pos="340"/>
        </w:tabs>
        <w:jc w:val="both"/>
        <w:rPr>
          <w:rFonts w:eastAsiaTheme="minorEastAsia"/>
        </w:rPr>
      </w:pPr>
      <w:r>
        <w:rPr>
          <w:rFonts w:eastAsiaTheme="minorEastAsia"/>
        </w:rPr>
        <w:t>Conditional event A3/A5 for CPC</w:t>
      </w:r>
    </w:p>
    <w:p w14:paraId="5F2E7403" w14:textId="1D82A0FC" w:rsidR="0062435A" w:rsidRDefault="0062435A" w:rsidP="0062435A">
      <w:pPr>
        <w:pStyle w:val="Doc-text2"/>
        <w:numPr>
          <w:ilvl w:val="1"/>
          <w:numId w:val="15"/>
        </w:numPr>
        <w:tabs>
          <w:tab w:val="left" w:pos="340"/>
        </w:tabs>
        <w:jc w:val="both"/>
        <w:rPr>
          <w:rFonts w:eastAsiaTheme="minorEastAsia"/>
        </w:rPr>
      </w:pPr>
      <w:r>
        <w:rPr>
          <w:rFonts w:eastAsiaTheme="minorEastAsia"/>
        </w:rPr>
        <w:t>Conditional event A4 for CPA</w:t>
      </w:r>
    </w:p>
    <w:p w14:paraId="7660B006" w14:textId="64CEDBD1" w:rsidR="007C11F8" w:rsidRPr="00CA0C91" w:rsidRDefault="007C11F8" w:rsidP="007C11F8">
      <w:pPr>
        <w:pStyle w:val="Doc-text2"/>
        <w:numPr>
          <w:ilvl w:val="0"/>
          <w:numId w:val="15"/>
        </w:numPr>
        <w:tabs>
          <w:tab w:val="left" w:pos="340"/>
        </w:tabs>
        <w:jc w:val="both"/>
        <w:rPr>
          <w:rFonts w:eastAsiaTheme="minorEastAsia"/>
          <w:bCs/>
        </w:rPr>
      </w:pPr>
      <w:proofErr w:type="spellStart"/>
      <w:r w:rsidRPr="00CA0C91">
        <w:rPr>
          <w:rFonts w:cs="Arial"/>
          <w:bCs/>
        </w:rPr>
        <w:t>sk</w:t>
      </w:r>
      <w:proofErr w:type="spellEnd"/>
      <w:r w:rsidRPr="00CA0C91">
        <w:rPr>
          <w:rFonts w:cs="Arial"/>
          <w:bCs/>
        </w:rPr>
        <w:t>-counter List</w:t>
      </w:r>
    </w:p>
    <w:p w14:paraId="1C9D9C6B" w14:textId="7DC70AFF" w:rsidR="0063503B" w:rsidRPr="00CA0C91" w:rsidRDefault="0063503B" w:rsidP="007C11F8">
      <w:pPr>
        <w:pStyle w:val="Doc-text2"/>
        <w:numPr>
          <w:ilvl w:val="1"/>
          <w:numId w:val="15"/>
        </w:numPr>
        <w:tabs>
          <w:tab w:val="left" w:pos="340"/>
        </w:tabs>
        <w:jc w:val="both"/>
        <w:rPr>
          <w:rFonts w:eastAsiaTheme="minorEastAsia"/>
          <w:bCs/>
        </w:rPr>
      </w:pPr>
      <w:proofErr w:type="spellStart"/>
      <w:r w:rsidRPr="00CA0C91">
        <w:rPr>
          <w:rFonts w:cs="Arial"/>
          <w:bCs/>
        </w:rPr>
        <w:t>sk</w:t>
      </w:r>
      <w:proofErr w:type="spellEnd"/>
      <w:r w:rsidRPr="00CA0C91">
        <w:rPr>
          <w:rFonts w:cs="Arial"/>
          <w:bCs/>
        </w:rPr>
        <w:t>-counter – 1</w:t>
      </w:r>
    </w:p>
    <w:p w14:paraId="5FFFC742" w14:textId="2CEBCE15" w:rsidR="0063503B" w:rsidRPr="00CA0C91" w:rsidRDefault="0063503B" w:rsidP="007C11F8">
      <w:pPr>
        <w:pStyle w:val="Doc-text2"/>
        <w:numPr>
          <w:ilvl w:val="1"/>
          <w:numId w:val="15"/>
        </w:numPr>
        <w:tabs>
          <w:tab w:val="left" w:pos="340"/>
        </w:tabs>
        <w:jc w:val="both"/>
        <w:rPr>
          <w:rFonts w:eastAsiaTheme="minorEastAsia"/>
          <w:bCs/>
        </w:rPr>
      </w:pPr>
      <w:proofErr w:type="spellStart"/>
      <w:r w:rsidRPr="00CA0C91">
        <w:rPr>
          <w:rFonts w:cs="Arial"/>
          <w:bCs/>
        </w:rPr>
        <w:t>sk</w:t>
      </w:r>
      <w:proofErr w:type="spellEnd"/>
      <w:r w:rsidRPr="00CA0C91">
        <w:rPr>
          <w:rFonts w:cs="Arial"/>
          <w:bCs/>
        </w:rPr>
        <w:t>-counter – 2</w:t>
      </w:r>
    </w:p>
    <w:p w14:paraId="728C2B0E" w14:textId="75026AD6" w:rsidR="0063503B" w:rsidRPr="00CA0C91" w:rsidRDefault="0062435A" w:rsidP="007C11F8">
      <w:pPr>
        <w:pStyle w:val="Doc-text2"/>
        <w:numPr>
          <w:ilvl w:val="1"/>
          <w:numId w:val="15"/>
        </w:numPr>
        <w:tabs>
          <w:tab w:val="left" w:pos="340"/>
        </w:tabs>
        <w:jc w:val="both"/>
        <w:rPr>
          <w:rFonts w:eastAsiaTheme="minorEastAsia"/>
          <w:bCs/>
        </w:rPr>
      </w:pPr>
      <w:r w:rsidRPr="00CA0C91">
        <w:rPr>
          <w:rFonts w:cs="Arial"/>
          <w:bCs/>
        </w:rPr>
        <w:t>…</w:t>
      </w:r>
    </w:p>
    <w:p w14:paraId="10615B04" w14:textId="577CBBED" w:rsidR="0063503B" w:rsidRPr="00CA0C91" w:rsidRDefault="0063503B" w:rsidP="007C11F8">
      <w:pPr>
        <w:pStyle w:val="Doc-text2"/>
        <w:numPr>
          <w:ilvl w:val="1"/>
          <w:numId w:val="15"/>
        </w:numPr>
        <w:tabs>
          <w:tab w:val="left" w:pos="340"/>
        </w:tabs>
        <w:jc w:val="both"/>
        <w:rPr>
          <w:rFonts w:eastAsiaTheme="minorEastAsia"/>
          <w:bCs/>
        </w:rPr>
      </w:pPr>
      <w:proofErr w:type="spellStart"/>
      <w:r w:rsidRPr="00CA0C91">
        <w:rPr>
          <w:rFonts w:cs="Arial"/>
          <w:bCs/>
        </w:rPr>
        <w:t>sk</w:t>
      </w:r>
      <w:proofErr w:type="spellEnd"/>
      <w:r w:rsidRPr="00CA0C91">
        <w:rPr>
          <w:rFonts w:cs="Arial"/>
          <w:bCs/>
        </w:rPr>
        <w:t xml:space="preserve">-counter – </w:t>
      </w:r>
      <w:r w:rsidR="0062435A" w:rsidRPr="00CA0C91">
        <w:rPr>
          <w:rFonts w:cs="Arial"/>
          <w:bCs/>
        </w:rPr>
        <w:t>N</w:t>
      </w:r>
    </w:p>
    <w:p w14:paraId="142580B3" w14:textId="2571F5AB" w:rsidR="007C11F8" w:rsidRPr="0063503B" w:rsidRDefault="007C11F8" w:rsidP="0063503B">
      <w:pPr>
        <w:pStyle w:val="Doc-text2"/>
        <w:numPr>
          <w:ilvl w:val="0"/>
          <w:numId w:val="15"/>
        </w:numPr>
        <w:tabs>
          <w:tab w:val="left" w:pos="340"/>
        </w:tabs>
        <w:jc w:val="both"/>
        <w:rPr>
          <w:rFonts w:eastAsiaTheme="minorEastAsia"/>
        </w:rPr>
      </w:pPr>
      <w:r>
        <w:rPr>
          <w:rFonts w:eastAsiaTheme="minorEastAsia"/>
        </w:rPr>
        <w:t>Pre-define Configuration (RRC message or Cell Group IE)</w:t>
      </w:r>
    </w:p>
    <w:p w14:paraId="7C5FE5AF" w14:textId="77777777" w:rsidR="0063503B" w:rsidRDefault="0063503B" w:rsidP="0063503B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3FEBBDA3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>
        <w:rPr>
          <w:rFonts w:cs="Arial"/>
        </w:rPr>
        <w:t>Base</w:t>
      </w:r>
      <w:r w:rsidR="00386C92">
        <w:rPr>
          <w:rFonts w:cs="Arial"/>
        </w:rPr>
        <w:t>d</w:t>
      </w:r>
      <w:r>
        <w:rPr>
          <w:rFonts w:cs="Arial"/>
        </w:rPr>
        <w:t xml:space="preserve"> on the discussion in section 2, we propose the following</w:t>
      </w:r>
      <w:r w:rsidR="00AB1DC9">
        <w:rPr>
          <w:rFonts w:cs="Arial"/>
        </w:rPr>
        <w:t xml:space="preserve"> proposals</w:t>
      </w:r>
      <w:r>
        <w:rPr>
          <w:rFonts w:cs="Arial"/>
        </w:rPr>
        <w:t xml:space="preserve">: </w:t>
      </w:r>
    </w:p>
    <w:p w14:paraId="68173353" w14:textId="185979E8" w:rsidR="00F22944" w:rsidRDefault="00F22944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444D69A3" w14:textId="77777777" w:rsidR="00CB296D" w:rsidRDefault="00CB296D" w:rsidP="00CB296D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>1</w:t>
      </w:r>
      <w:r w:rsidRPr="008A29F1">
        <w:rPr>
          <w:rFonts w:cs="Arial"/>
          <w:b/>
        </w:rPr>
        <w:t xml:space="preserve">: </w:t>
      </w:r>
      <w:r w:rsidRPr="00E625C7">
        <w:rPr>
          <w:rFonts w:cs="Arial"/>
          <w:b/>
        </w:rPr>
        <w:t xml:space="preserve">The selective activation of </w:t>
      </w:r>
      <w:r>
        <w:rPr>
          <w:rFonts w:cs="Arial"/>
          <w:b/>
        </w:rPr>
        <w:t>SCG</w:t>
      </w:r>
      <w:r w:rsidRPr="00E625C7">
        <w:rPr>
          <w:rFonts w:cs="Arial"/>
          <w:b/>
        </w:rPr>
        <w:t xml:space="preserve"> should correspond to support of subsequent </w:t>
      </w:r>
      <w:r>
        <w:rPr>
          <w:rFonts w:cs="Arial"/>
          <w:b/>
        </w:rPr>
        <w:t>CPC</w:t>
      </w:r>
      <w:r w:rsidRPr="00E625C7">
        <w:rPr>
          <w:rFonts w:cs="Arial"/>
          <w:b/>
        </w:rPr>
        <w:t xml:space="preserve"> after </w:t>
      </w:r>
      <w:r>
        <w:rPr>
          <w:rFonts w:cs="Arial"/>
          <w:b/>
        </w:rPr>
        <w:t xml:space="preserve">SCG </w:t>
      </w:r>
      <w:r w:rsidRPr="00E625C7">
        <w:rPr>
          <w:rFonts w:cs="Arial"/>
          <w:b/>
        </w:rPr>
        <w:t xml:space="preserve">change </w:t>
      </w:r>
      <w:r>
        <w:rPr>
          <w:rFonts w:cs="Arial"/>
          <w:b/>
        </w:rPr>
        <w:t xml:space="preserve">or SCG addition </w:t>
      </w:r>
      <w:r w:rsidRPr="00E625C7">
        <w:rPr>
          <w:rFonts w:cs="Arial"/>
          <w:b/>
        </w:rPr>
        <w:t>(normal or conditional)</w:t>
      </w:r>
      <w:r>
        <w:rPr>
          <w:rFonts w:cs="Arial"/>
          <w:b/>
        </w:rPr>
        <w:t>.</w:t>
      </w:r>
    </w:p>
    <w:p w14:paraId="0C952C95" w14:textId="68DA5CFE" w:rsidR="00C141FA" w:rsidRDefault="00C141FA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277B4F1F" w14:textId="77777777" w:rsidR="00CB296D" w:rsidRDefault="00CB296D" w:rsidP="00CB296D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>2</w:t>
      </w:r>
      <w:r w:rsidRPr="008A29F1">
        <w:rPr>
          <w:rFonts w:cs="Arial"/>
          <w:b/>
        </w:rPr>
        <w:t xml:space="preserve">: </w:t>
      </w:r>
      <w:r>
        <w:rPr>
          <w:rFonts w:cs="Arial"/>
          <w:b/>
        </w:rPr>
        <w:t>For intra-SN selective SCG activation, RAN2 should reuse the same RRC model for candidate configuration and same delta signaling principle as in L1/L2 mobility.</w:t>
      </w:r>
    </w:p>
    <w:p w14:paraId="1C2E60C1" w14:textId="77777777" w:rsidR="00CB296D" w:rsidRDefault="00CB296D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7E25BDC4" w14:textId="77777777" w:rsidR="00CB296D" w:rsidRDefault="00CB296D" w:rsidP="00CB296D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>3</w:t>
      </w:r>
      <w:r w:rsidRPr="008A29F1">
        <w:rPr>
          <w:rFonts w:cs="Arial"/>
          <w:b/>
        </w:rPr>
        <w:t xml:space="preserve">: </w:t>
      </w:r>
      <w:r>
        <w:rPr>
          <w:rFonts w:cs="Arial"/>
          <w:b/>
        </w:rPr>
        <w:t xml:space="preserve">For delta configuration aspect of selective SCG activation, RAN2 consider to use Network-based solution as baseline (i.e. Network ensures the </w:t>
      </w:r>
      <w:r w:rsidRPr="004E79FA">
        <w:rPr>
          <w:rFonts w:cs="Arial"/>
          <w:b/>
        </w:rPr>
        <w:t>predefined configuration</w:t>
      </w:r>
      <w:r>
        <w:rPr>
          <w:rFonts w:cs="Arial"/>
          <w:b/>
        </w:rPr>
        <w:t xml:space="preserve"> is valid no matter other predefined configuration is applied or not). </w:t>
      </w:r>
    </w:p>
    <w:p w14:paraId="69C6A394" w14:textId="3673DBF5" w:rsidR="00DA26A2" w:rsidRDefault="00DA26A2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0215829B" w14:textId="762A645E" w:rsidR="00CB296D" w:rsidRDefault="00CB296D" w:rsidP="00CB296D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>4</w:t>
      </w:r>
      <w:r w:rsidRPr="008A29F1">
        <w:rPr>
          <w:rFonts w:cs="Arial"/>
          <w:b/>
        </w:rPr>
        <w:t xml:space="preserve">: </w:t>
      </w:r>
      <w:r>
        <w:rPr>
          <w:rFonts w:cs="Arial"/>
          <w:b/>
        </w:rPr>
        <w:t xml:space="preserve">For </w:t>
      </w:r>
      <w:r w:rsidRPr="00A65910">
        <w:rPr>
          <w:rFonts w:cs="Arial"/>
          <w:b/>
        </w:rPr>
        <w:t xml:space="preserve">trigger condition </w:t>
      </w:r>
      <w:r>
        <w:rPr>
          <w:rFonts w:cs="Arial"/>
          <w:b/>
        </w:rPr>
        <w:t xml:space="preserve">in </w:t>
      </w:r>
      <w:r w:rsidRPr="00F2463B">
        <w:rPr>
          <w:rFonts w:cs="Arial"/>
          <w:b/>
        </w:rPr>
        <w:t>selective SCG activation</w:t>
      </w:r>
      <w:r>
        <w:rPr>
          <w:rFonts w:cs="Arial"/>
          <w:b/>
        </w:rPr>
        <w:t xml:space="preserve">, reuse the </w:t>
      </w:r>
      <w:r w:rsidR="00271A93">
        <w:rPr>
          <w:rFonts w:cs="Arial"/>
          <w:b/>
        </w:rPr>
        <w:t>same</w:t>
      </w:r>
      <w:r>
        <w:rPr>
          <w:rFonts w:cs="Arial"/>
          <w:b/>
        </w:rPr>
        <w:t xml:space="preserve"> conditional measurement events as in legacy CPC and CPA.</w:t>
      </w:r>
    </w:p>
    <w:p w14:paraId="0E403799" w14:textId="77777777" w:rsidR="00CB296D" w:rsidRDefault="00CB296D" w:rsidP="00CB296D">
      <w:pPr>
        <w:pStyle w:val="Doc-text2"/>
        <w:numPr>
          <w:ilvl w:val="0"/>
          <w:numId w:val="14"/>
        </w:numPr>
        <w:tabs>
          <w:tab w:val="left" w:pos="340"/>
        </w:tabs>
        <w:jc w:val="both"/>
        <w:rPr>
          <w:rFonts w:cs="Arial"/>
          <w:b/>
        </w:rPr>
      </w:pPr>
      <w:r>
        <w:rPr>
          <w:rFonts w:cs="Arial"/>
          <w:b/>
        </w:rPr>
        <w:t>Event A3 and A5 for CPC</w:t>
      </w:r>
    </w:p>
    <w:p w14:paraId="50A1A068" w14:textId="77777777" w:rsidR="00CB296D" w:rsidRDefault="00CB296D" w:rsidP="00CB296D">
      <w:pPr>
        <w:pStyle w:val="Doc-text2"/>
        <w:numPr>
          <w:ilvl w:val="0"/>
          <w:numId w:val="14"/>
        </w:numPr>
        <w:tabs>
          <w:tab w:val="left" w:pos="340"/>
        </w:tabs>
        <w:jc w:val="both"/>
        <w:rPr>
          <w:rFonts w:cs="Arial"/>
          <w:b/>
        </w:rPr>
      </w:pPr>
      <w:r>
        <w:rPr>
          <w:rFonts w:cs="Arial"/>
          <w:b/>
        </w:rPr>
        <w:t>Event A4 for CPA</w:t>
      </w:r>
    </w:p>
    <w:p w14:paraId="15CA0459" w14:textId="780ECCE1" w:rsidR="00CB296D" w:rsidRDefault="00CB296D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4F9EAA16" w14:textId="20C52062" w:rsidR="009B79A1" w:rsidRDefault="009B79A1" w:rsidP="009B79A1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>
        <w:rPr>
          <w:rFonts w:cs="Arial"/>
          <w:b/>
        </w:rPr>
        <w:t xml:space="preserve">Proposal 5: In selective SCG activation, two set of trigger conditions could be configured for one candidate </w:t>
      </w:r>
      <w:proofErr w:type="spellStart"/>
      <w:r>
        <w:rPr>
          <w:rFonts w:cs="Arial"/>
          <w:b/>
        </w:rPr>
        <w:t>PSCell</w:t>
      </w:r>
      <w:proofErr w:type="spellEnd"/>
      <w:r>
        <w:rPr>
          <w:rFonts w:cs="Arial"/>
          <w:b/>
        </w:rPr>
        <w:t>. One set of the trigger condition is used for CPC and the other set is used for CPA.</w:t>
      </w:r>
    </w:p>
    <w:p w14:paraId="6AD6DB0E" w14:textId="53781E39" w:rsidR="009B79A1" w:rsidRDefault="009B79A1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3731FA2C" w14:textId="77777777" w:rsidR="009B79A1" w:rsidRDefault="009B79A1" w:rsidP="009B79A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>6</w:t>
      </w:r>
      <w:r w:rsidRPr="008A29F1">
        <w:rPr>
          <w:rFonts w:cs="Arial"/>
          <w:b/>
        </w:rPr>
        <w:t xml:space="preserve">: </w:t>
      </w:r>
      <w:r>
        <w:rPr>
          <w:rFonts w:cs="Arial"/>
          <w:b/>
        </w:rPr>
        <w:t xml:space="preserve">For intra-SN selective SCG activation, RAN2 assumes that no security update in predefined configuration. If needed, the NW can update the secondary key via normal RRC Reconfiguration. </w:t>
      </w:r>
    </w:p>
    <w:p w14:paraId="422C43CD" w14:textId="13D7DE17" w:rsidR="009B79A1" w:rsidRDefault="009B79A1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6A504308" w14:textId="77777777" w:rsidR="009B79A1" w:rsidRDefault="009B79A1" w:rsidP="009B79A1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>7</w:t>
      </w:r>
      <w:r w:rsidRPr="008A29F1">
        <w:rPr>
          <w:rFonts w:cs="Arial"/>
          <w:b/>
        </w:rPr>
        <w:t xml:space="preserve">: </w:t>
      </w:r>
      <w:r>
        <w:rPr>
          <w:rFonts w:cs="Arial"/>
          <w:b/>
        </w:rPr>
        <w:t xml:space="preserve">For inter-SN selective SCG activation, RAN2 assumes </w:t>
      </w:r>
      <w:proofErr w:type="spellStart"/>
      <w:r w:rsidRPr="00AF401A">
        <w:rPr>
          <w:rFonts w:cs="Arial"/>
          <w:b/>
          <w:i/>
          <w:iCs/>
        </w:rPr>
        <w:t>sk</w:t>
      </w:r>
      <w:proofErr w:type="spellEnd"/>
      <w:r w:rsidRPr="00AF401A">
        <w:rPr>
          <w:rFonts w:cs="Arial"/>
          <w:b/>
          <w:i/>
          <w:iCs/>
        </w:rPr>
        <w:t>-counter</w:t>
      </w:r>
      <w:r>
        <w:rPr>
          <w:rFonts w:cs="Arial"/>
          <w:b/>
        </w:rPr>
        <w:t xml:space="preserve"> is provided in the pre-configuration. The NW could configure a list of </w:t>
      </w:r>
      <w:proofErr w:type="spellStart"/>
      <w:r w:rsidRPr="00AF401A">
        <w:rPr>
          <w:rFonts w:cs="Arial"/>
          <w:b/>
          <w:i/>
          <w:iCs/>
        </w:rPr>
        <w:t>sk</w:t>
      </w:r>
      <w:proofErr w:type="spellEnd"/>
      <w:r w:rsidRPr="00AF401A">
        <w:rPr>
          <w:rFonts w:cs="Arial"/>
          <w:b/>
          <w:i/>
          <w:iCs/>
        </w:rPr>
        <w:t>-counter</w:t>
      </w:r>
      <w:r>
        <w:rPr>
          <w:rFonts w:cs="Arial"/>
          <w:b/>
        </w:rPr>
        <w:t>. The UE derive secondary key base on master key and the N</w:t>
      </w:r>
      <w:r w:rsidRPr="00EB45DB">
        <w:rPr>
          <w:rFonts w:cs="Arial"/>
          <w:b/>
          <w:vertAlign w:val="superscript"/>
        </w:rPr>
        <w:t>th</w:t>
      </w:r>
      <w:r>
        <w:rPr>
          <w:rFonts w:cs="Arial"/>
          <w:b/>
        </w:rPr>
        <w:t xml:space="preserve"> provided </w:t>
      </w:r>
      <w:proofErr w:type="spellStart"/>
      <w:r w:rsidRPr="00AF401A">
        <w:rPr>
          <w:rFonts w:cs="Arial"/>
          <w:b/>
          <w:i/>
          <w:iCs/>
        </w:rPr>
        <w:t>sk</w:t>
      </w:r>
      <w:proofErr w:type="spellEnd"/>
      <w:r w:rsidRPr="00AF401A">
        <w:rPr>
          <w:rFonts w:cs="Arial"/>
          <w:b/>
          <w:i/>
          <w:iCs/>
        </w:rPr>
        <w:t>-counter</w:t>
      </w:r>
      <w:r>
        <w:rPr>
          <w:rFonts w:cs="Arial"/>
          <w:b/>
        </w:rPr>
        <w:t xml:space="preserve"> for the N</w:t>
      </w:r>
      <w:r w:rsidRPr="00EB45DB">
        <w:rPr>
          <w:rFonts w:cs="Arial"/>
          <w:b/>
          <w:vertAlign w:val="superscript"/>
        </w:rPr>
        <w:t>th</w:t>
      </w:r>
      <w:r>
        <w:rPr>
          <w:rFonts w:cs="Arial"/>
          <w:b/>
        </w:rPr>
        <w:t xml:space="preserve"> time activating the SCG.</w:t>
      </w:r>
    </w:p>
    <w:p w14:paraId="5B6FC7C9" w14:textId="77777777" w:rsidR="009B79A1" w:rsidRDefault="009B79A1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0B2CB1AF" w14:textId="5C0EA5A6" w:rsidR="00EF6B92" w:rsidRDefault="00217ED3" w:rsidP="00EF6B92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823FC3" w:rsidRPr="00823FC3">
        <w:rPr>
          <w:rFonts w:ascii="Arial" w:hAnsi="Arial" w:cs="Arial"/>
          <w:lang w:eastAsia="ko-KR"/>
        </w:rPr>
        <w:t>RP-222332</w:t>
      </w:r>
      <w:r w:rsidR="001D3C85">
        <w:rPr>
          <w:rFonts w:ascii="Arial" w:hAnsi="Arial" w:cs="Arial"/>
          <w:lang w:eastAsia="ko-KR"/>
        </w:rPr>
        <w:t>, “</w:t>
      </w:r>
      <w:r w:rsidR="00823FC3" w:rsidRPr="00823FC3">
        <w:rPr>
          <w:rFonts w:ascii="Arial" w:hAnsi="Arial" w:cs="Arial"/>
          <w:lang w:eastAsia="ko-KR"/>
        </w:rPr>
        <w:t>Revised WI: Mobility Enhancements</w:t>
      </w:r>
      <w:r w:rsidR="001D3C85">
        <w:rPr>
          <w:rFonts w:ascii="Arial" w:hAnsi="Arial" w:cs="Arial"/>
          <w:lang w:eastAsia="ko-KR"/>
        </w:rPr>
        <w:t>”</w:t>
      </w:r>
      <w:r w:rsidR="00707C97">
        <w:rPr>
          <w:rFonts w:ascii="Arial" w:hAnsi="Arial" w:cs="Arial"/>
          <w:lang w:eastAsia="ko-KR"/>
        </w:rPr>
        <w:t>, MediaTek</w:t>
      </w:r>
    </w:p>
    <w:p w14:paraId="410B819F" w14:textId="1125B153" w:rsidR="00CA4282" w:rsidRDefault="00CA4282">
      <w:pPr>
        <w:spacing w:after="0"/>
        <w:rPr>
          <w:rFonts w:ascii="Arial" w:hAnsi="Arial" w:cs="Arial"/>
          <w:lang w:eastAsia="ko-KR"/>
        </w:rPr>
      </w:pPr>
    </w:p>
    <w:p w14:paraId="7194A103" w14:textId="77777777" w:rsidR="00F52B90" w:rsidRDefault="00F52B90" w:rsidP="00D809F3">
      <w:pPr>
        <w:spacing w:after="60"/>
        <w:rPr>
          <w:rFonts w:ascii="Arial" w:hAnsi="Arial" w:cs="Arial"/>
          <w:lang w:eastAsia="ko-KR"/>
        </w:rPr>
      </w:pPr>
    </w:p>
    <w:sectPr w:rsidR="00F52B90" w:rsidSect="0007478B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355B8" w14:textId="77777777" w:rsidR="002C2E55" w:rsidRDefault="002C2E55">
      <w:r>
        <w:separator/>
      </w:r>
    </w:p>
  </w:endnote>
  <w:endnote w:type="continuationSeparator" w:id="0">
    <w:p w14:paraId="21DF9340" w14:textId="77777777" w:rsidR="002C2E55" w:rsidRDefault="002C2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ADF66" w14:textId="77777777" w:rsidR="002C2E55" w:rsidRDefault="002C2E55">
      <w:r>
        <w:separator/>
      </w:r>
    </w:p>
  </w:footnote>
  <w:footnote w:type="continuationSeparator" w:id="0">
    <w:p w14:paraId="1A4E9B1C" w14:textId="77777777" w:rsidR="002C2E55" w:rsidRDefault="002C2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467B5"/>
    <w:multiLevelType w:val="hybridMultilevel"/>
    <w:tmpl w:val="97BED25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8F23C5D"/>
    <w:multiLevelType w:val="hybridMultilevel"/>
    <w:tmpl w:val="FD008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C2FD0"/>
    <w:multiLevelType w:val="hybridMultilevel"/>
    <w:tmpl w:val="19CC2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77E4C"/>
    <w:multiLevelType w:val="hybridMultilevel"/>
    <w:tmpl w:val="0DACD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6112F0"/>
    <w:multiLevelType w:val="hybridMultilevel"/>
    <w:tmpl w:val="82DA5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FB74A4"/>
    <w:multiLevelType w:val="hybridMultilevel"/>
    <w:tmpl w:val="FBBAB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C403C4"/>
    <w:multiLevelType w:val="hybridMultilevel"/>
    <w:tmpl w:val="8D1CE9C6"/>
    <w:lvl w:ilvl="0" w:tplc="40C2DFF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347E73"/>
    <w:multiLevelType w:val="hybridMultilevel"/>
    <w:tmpl w:val="5FB636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BA730D2"/>
    <w:multiLevelType w:val="hybridMultilevel"/>
    <w:tmpl w:val="60B44D66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1"/>
  </w:num>
  <w:num w:numId="5">
    <w:abstractNumId w:val="14"/>
  </w:num>
  <w:num w:numId="6">
    <w:abstractNumId w:val="10"/>
  </w:num>
  <w:num w:numId="7">
    <w:abstractNumId w:val="1"/>
  </w:num>
  <w:num w:numId="8">
    <w:abstractNumId w:val="12"/>
  </w:num>
  <w:num w:numId="9">
    <w:abstractNumId w:val="9"/>
  </w:num>
  <w:num w:numId="10">
    <w:abstractNumId w:val="13"/>
  </w:num>
  <w:num w:numId="11">
    <w:abstractNumId w:val="7"/>
  </w:num>
  <w:num w:numId="12">
    <w:abstractNumId w:val="3"/>
  </w:num>
  <w:num w:numId="13">
    <w:abstractNumId w:val="5"/>
  </w:num>
  <w:num w:numId="14">
    <w:abstractNumId w:val="0"/>
  </w:num>
  <w:num w:numId="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87C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50D8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EB4"/>
    <w:rsid w:val="00071F50"/>
    <w:rsid w:val="00072482"/>
    <w:rsid w:val="00072489"/>
    <w:rsid w:val="0007296F"/>
    <w:rsid w:val="0007339F"/>
    <w:rsid w:val="0007478B"/>
    <w:rsid w:val="00075128"/>
    <w:rsid w:val="000758A5"/>
    <w:rsid w:val="00075F67"/>
    <w:rsid w:val="00076D65"/>
    <w:rsid w:val="00077746"/>
    <w:rsid w:val="0008019C"/>
    <w:rsid w:val="00080B67"/>
    <w:rsid w:val="00081385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97FAD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2016"/>
    <w:rsid w:val="000B3BFD"/>
    <w:rsid w:val="000B4201"/>
    <w:rsid w:val="000B4229"/>
    <w:rsid w:val="000B4631"/>
    <w:rsid w:val="000B5AE5"/>
    <w:rsid w:val="000B5B22"/>
    <w:rsid w:val="000B5B58"/>
    <w:rsid w:val="000B63E7"/>
    <w:rsid w:val="000B67AA"/>
    <w:rsid w:val="000B7059"/>
    <w:rsid w:val="000B71CD"/>
    <w:rsid w:val="000B7AC3"/>
    <w:rsid w:val="000C00BC"/>
    <w:rsid w:val="000C02FD"/>
    <w:rsid w:val="000C0848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169"/>
    <w:rsid w:val="000F0675"/>
    <w:rsid w:val="000F1B05"/>
    <w:rsid w:val="000F219A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46E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526"/>
    <w:rsid w:val="00131DAB"/>
    <w:rsid w:val="00131DF4"/>
    <w:rsid w:val="0013385F"/>
    <w:rsid w:val="00134D49"/>
    <w:rsid w:val="00135CB5"/>
    <w:rsid w:val="00136A8A"/>
    <w:rsid w:val="001377DB"/>
    <w:rsid w:val="00137D8D"/>
    <w:rsid w:val="00140849"/>
    <w:rsid w:val="00140924"/>
    <w:rsid w:val="00140A0A"/>
    <w:rsid w:val="00141425"/>
    <w:rsid w:val="00141456"/>
    <w:rsid w:val="00141889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4795"/>
    <w:rsid w:val="00165380"/>
    <w:rsid w:val="00165CDA"/>
    <w:rsid w:val="0016697A"/>
    <w:rsid w:val="00166AC6"/>
    <w:rsid w:val="00167588"/>
    <w:rsid w:val="00167FC4"/>
    <w:rsid w:val="0017209C"/>
    <w:rsid w:val="00172CB7"/>
    <w:rsid w:val="00172F10"/>
    <w:rsid w:val="0017303A"/>
    <w:rsid w:val="00173344"/>
    <w:rsid w:val="00173394"/>
    <w:rsid w:val="00174433"/>
    <w:rsid w:val="00175119"/>
    <w:rsid w:val="0017549F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151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3AD"/>
    <w:rsid w:val="001A244E"/>
    <w:rsid w:val="001A25B0"/>
    <w:rsid w:val="001A37B9"/>
    <w:rsid w:val="001A3992"/>
    <w:rsid w:val="001A3E2D"/>
    <w:rsid w:val="001A401E"/>
    <w:rsid w:val="001A44E0"/>
    <w:rsid w:val="001A4FA5"/>
    <w:rsid w:val="001A50D9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9F3"/>
    <w:rsid w:val="001B4BAC"/>
    <w:rsid w:val="001B5FAA"/>
    <w:rsid w:val="001B5FB6"/>
    <w:rsid w:val="001B6C8C"/>
    <w:rsid w:val="001B6EC3"/>
    <w:rsid w:val="001B7116"/>
    <w:rsid w:val="001B7764"/>
    <w:rsid w:val="001B7A6C"/>
    <w:rsid w:val="001C227D"/>
    <w:rsid w:val="001C22C3"/>
    <w:rsid w:val="001C319F"/>
    <w:rsid w:val="001C38B1"/>
    <w:rsid w:val="001C4139"/>
    <w:rsid w:val="001C4279"/>
    <w:rsid w:val="001C44F7"/>
    <w:rsid w:val="001C5548"/>
    <w:rsid w:val="001C56C4"/>
    <w:rsid w:val="001C67F5"/>
    <w:rsid w:val="001D1285"/>
    <w:rsid w:val="001D14B9"/>
    <w:rsid w:val="001D1750"/>
    <w:rsid w:val="001D18C0"/>
    <w:rsid w:val="001D1C03"/>
    <w:rsid w:val="001D1C14"/>
    <w:rsid w:val="001D25F5"/>
    <w:rsid w:val="001D336B"/>
    <w:rsid w:val="001D3B68"/>
    <w:rsid w:val="001D3C85"/>
    <w:rsid w:val="001D4138"/>
    <w:rsid w:val="001D4B18"/>
    <w:rsid w:val="001D628D"/>
    <w:rsid w:val="001D7771"/>
    <w:rsid w:val="001D7A4B"/>
    <w:rsid w:val="001E133F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8D0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4D35"/>
    <w:rsid w:val="00215043"/>
    <w:rsid w:val="0021549E"/>
    <w:rsid w:val="00215655"/>
    <w:rsid w:val="00215C93"/>
    <w:rsid w:val="00215D11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611"/>
    <w:rsid w:val="0022263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36C5E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96B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101"/>
    <w:rsid w:val="0026636B"/>
    <w:rsid w:val="00267043"/>
    <w:rsid w:val="00267264"/>
    <w:rsid w:val="00267ED8"/>
    <w:rsid w:val="00270888"/>
    <w:rsid w:val="00270C0F"/>
    <w:rsid w:val="00271063"/>
    <w:rsid w:val="00271A93"/>
    <w:rsid w:val="00271C57"/>
    <w:rsid w:val="0027285C"/>
    <w:rsid w:val="002733ED"/>
    <w:rsid w:val="0027493D"/>
    <w:rsid w:val="00274C15"/>
    <w:rsid w:val="00274ECC"/>
    <w:rsid w:val="00275359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5D0D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12B2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2E55"/>
    <w:rsid w:val="002C38AE"/>
    <w:rsid w:val="002C38B9"/>
    <w:rsid w:val="002C393B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B13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911"/>
    <w:rsid w:val="002E3C1B"/>
    <w:rsid w:val="002E3C6E"/>
    <w:rsid w:val="002E4087"/>
    <w:rsid w:val="002E4480"/>
    <w:rsid w:val="002E4C63"/>
    <w:rsid w:val="002E4E1A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17B"/>
    <w:rsid w:val="002F37DC"/>
    <w:rsid w:val="002F3D7E"/>
    <w:rsid w:val="002F3F09"/>
    <w:rsid w:val="002F449C"/>
    <w:rsid w:val="002F4917"/>
    <w:rsid w:val="002F5E12"/>
    <w:rsid w:val="002F6AF5"/>
    <w:rsid w:val="002F6D58"/>
    <w:rsid w:val="002F71C4"/>
    <w:rsid w:val="002F7598"/>
    <w:rsid w:val="002F787B"/>
    <w:rsid w:val="002F7B80"/>
    <w:rsid w:val="00301CF4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A51"/>
    <w:rsid w:val="00310CDA"/>
    <w:rsid w:val="00310E33"/>
    <w:rsid w:val="003111C8"/>
    <w:rsid w:val="003111E1"/>
    <w:rsid w:val="003118A6"/>
    <w:rsid w:val="00311A26"/>
    <w:rsid w:val="003120B5"/>
    <w:rsid w:val="0031313D"/>
    <w:rsid w:val="003134E9"/>
    <w:rsid w:val="003137B4"/>
    <w:rsid w:val="00313D03"/>
    <w:rsid w:val="00313F90"/>
    <w:rsid w:val="003143AA"/>
    <w:rsid w:val="003158DE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259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37D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C16"/>
    <w:rsid w:val="00352E0B"/>
    <w:rsid w:val="00354116"/>
    <w:rsid w:val="003545DC"/>
    <w:rsid w:val="00354D49"/>
    <w:rsid w:val="003552BF"/>
    <w:rsid w:val="00355BEA"/>
    <w:rsid w:val="003560A2"/>
    <w:rsid w:val="003568B6"/>
    <w:rsid w:val="00356F32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79F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A1A"/>
    <w:rsid w:val="00380BFF"/>
    <w:rsid w:val="00380E32"/>
    <w:rsid w:val="00382075"/>
    <w:rsid w:val="003820EB"/>
    <w:rsid w:val="0038269E"/>
    <w:rsid w:val="003826FC"/>
    <w:rsid w:val="00382FAF"/>
    <w:rsid w:val="00384810"/>
    <w:rsid w:val="00384817"/>
    <w:rsid w:val="00384A50"/>
    <w:rsid w:val="00384BE4"/>
    <w:rsid w:val="00385B91"/>
    <w:rsid w:val="0038629A"/>
    <w:rsid w:val="003866C0"/>
    <w:rsid w:val="00386997"/>
    <w:rsid w:val="00386C92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2B2F"/>
    <w:rsid w:val="003931A7"/>
    <w:rsid w:val="003934B3"/>
    <w:rsid w:val="00394119"/>
    <w:rsid w:val="003942B6"/>
    <w:rsid w:val="0039447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2CA5"/>
    <w:rsid w:val="003A3F15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C34"/>
    <w:rsid w:val="003B2E38"/>
    <w:rsid w:val="003B2F05"/>
    <w:rsid w:val="003B3CB3"/>
    <w:rsid w:val="003B5767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041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29A8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A1D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27BA2"/>
    <w:rsid w:val="00431A0E"/>
    <w:rsid w:val="00431C59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55F0"/>
    <w:rsid w:val="00446A61"/>
    <w:rsid w:val="00446BC2"/>
    <w:rsid w:val="00447317"/>
    <w:rsid w:val="00447436"/>
    <w:rsid w:val="00450FCD"/>
    <w:rsid w:val="00451D52"/>
    <w:rsid w:val="004524C8"/>
    <w:rsid w:val="00452B50"/>
    <w:rsid w:val="00452FA4"/>
    <w:rsid w:val="0045306C"/>
    <w:rsid w:val="00453508"/>
    <w:rsid w:val="00453901"/>
    <w:rsid w:val="00454A01"/>
    <w:rsid w:val="00454A24"/>
    <w:rsid w:val="00454F41"/>
    <w:rsid w:val="00454F53"/>
    <w:rsid w:val="00456B60"/>
    <w:rsid w:val="0045754D"/>
    <w:rsid w:val="00460075"/>
    <w:rsid w:val="00460A37"/>
    <w:rsid w:val="0046131B"/>
    <w:rsid w:val="004615E9"/>
    <w:rsid w:val="0046210F"/>
    <w:rsid w:val="00462140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57B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074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D5E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3D"/>
    <w:rsid w:val="004B1DE1"/>
    <w:rsid w:val="004B253E"/>
    <w:rsid w:val="004B3131"/>
    <w:rsid w:val="004B55FC"/>
    <w:rsid w:val="004B66E4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2FD4"/>
    <w:rsid w:val="004C36F7"/>
    <w:rsid w:val="004C38AE"/>
    <w:rsid w:val="004C54F1"/>
    <w:rsid w:val="004C583D"/>
    <w:rsid w:val="004C5DB0"/>
    <w:rsid w:val="004C6034"/>
    <w:rsid w:val="004C7AC0"/>
    <w:rsid w:val="004D011F"/>
    <w:rsid w:val="004D0A72"/>
    <w:rsid w:val="004D2685"/>
    <w:rsid w:val="004D3139"/>
    <w:rsid w:val="004D3853"/>
    <w:rsid w:val="004D3DCD"/>
    <w:rsid w:val="004D46DE"/>
    <w:rsid w:val="004D56B7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E79FA"/>
    <w:rsid w:val="004F0227"/>
    <w:rsid w:val="004F0DA0"/>
    <w:rsid w:val="004F0F03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0D65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35E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1988"/>
    <w:rsid w:val="00522A57"/>
    <w:rsid w:val="00522D90"/>
    <w:rsid w:val="00522DFE"/>
    <w:rsid w:val="0052307E"/>
    <w:rsid w:val="005231CE"/>
    <w:rsid w:val="00523349"/>
    <w:rsid w:val="00523689"/>
    <w:rsid w:val="00523D3A"/>
    <w:rsid w:val="00523FD9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0FE"/>
    <w:rsid w:val="0054099C"/>
    <w:rsid w:val="00540E57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57E6C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A2D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033F"/>
    <w:rsid w:val="0057040C"/>
    <w:rsid w:val="00570CF2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3BAB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199"/>
    <w:rsid w:val="005C1F63"/>
    <w:rsid w:val="005C21A4"/>
    <w:rsid w:val="005C243C"/>
    <w:rsid w:val="005C2494"/>
    <w:rsid w:val="005C2A3A"/>
    <w:rsid w:val="005C2BE5"/>
    <w:rsid w:val="005C313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C650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5C37"/>
    <w:rsid w:val="005E70F4"/>
    <w:rsid w:val="005F0898"/>
    <w:rsid w:val="005F0B6C"/>
    <w:rsid w:val="005F138D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59"/>
    <w:rsid w:val="00610E88"/>
    <w:rsid w:val="006118D8"/>
    <w:rsid w:val="00612485"/>
    <w:rsid w:val="0061330A"/>
    <w:rsid w:val="0061378A"/>
    <w:rsid w:val="006138DE"/>
    <w:rsid w:val="00613F3C"/>
    <w:rsid w:val="006144FA"/>
    <w:rsid w:val="0061520E"/>
    <w:rsid w:val="00615333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435A"/>
    <w:rsid w:val="00625303"/>
    <w:rsid w:val="0062538B"/>
    <w:rsid w:val="00625859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3B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7FD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69F9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51E"/>
    <w:rsid w:val="00666DC3"/>
    <w:rsid w:val="00670368"/>
    <w:rsid w:val="00670442"/>
    <w:rsid w:val="00670C59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225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107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2981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0D36"/>
    <w:rsid w:val="006D1707"/>
    <w:rsid w:val="006D1AAA"/>
    <w:rsid w:val="006D2E78"/>
    <w:rsid w:val="006D33C5"/>
    <w:rsid w:val="006D3600"/>
    <w:rsid w:val="006D39E8"/>
    <w:rsid w:val="006D4EF9"/>
    <w:rsid w:val="006D6D5F"/>
    <w:rsid w:val="006D7581"/>
    <w:rsid w:val="006D7776"/>
    <w:rsid w:val="006E16BE"/>
    <w:rsid w:val="006E1D94"/>
    <w:rsid w:val="006E21FB"/>
    <w:rsid w:val="006E2738"/>
    <w:rsid w:val="006E2D4E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4D2A"/>
    <w:rsid w:val="00705077"/>
    <w:rsid w:val="00705523"/>
    <w:rsid w:val="00705E1C"/>
    <w:rsid w:val="00706014"/>
    <w:rsid w:val="007065DB"/>
    <w:rsid w:val="0070678D"/>
    <w:rsid w:val="00706B66"/>
    <w:rsid w:val="0070743B"/>
    <w:rsid w:val="007075B1"/>
    <w:rsid w:val="007078BC"/>
    <w:rsid w:val="00707C97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3F0E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080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70A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07C4"/>
    <w:rsid w:val="0079142E"/>
    <w:rsid w:val="007917A1"/>
    <w:rsid w:val="00791A92"/>
    <w:rsid w:val="00791C0F"/>
    <w:rsid w:val="007922C4"/>
    <w:rsid w:val="007938BF"/>
    <w:rsid w:val="00793D14"/>
    <w:rsid w:val="00793EA6"/>
    <w:rsid w:val="00793ECD"/>
    <w:rsid w:val="00794674"/>
    <w:rsid w:val="007949BA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8CD"/>
    <w:rsid w:val="007A1A3C"/>
    <w:rsid w:val="007A2029"/>
    <w:rsid w:val="007A205B"/>
    <w:rsid w:val="007A2327"/>
    <w:rsid w:val="007A252E"/>
    <w:rsid w:val="007A3956"/>
    <w:rsid w:val="007A432C"/>
    <w:rsid w:val="007A535B"/>
    <w:rsid w:val="007A609C"/>
    <w:rsid w:val="007A725E"/>
    <w:rsid w:val="007B0E19"/>
    <w:rsid w:val="007B177D"/>
    <w:rsid w:val="007B18B8"/>
    <w:rsid w:val="007B21AA"/>
    <w:rsid w:val="007B2308"/>
    <w:rsid w:val="007B245D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11F8"/>
    <w:rsid w:val="007C12BB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5CC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06B3"/>
    <w:rsid w:val="00811EC6"/>
    <w:rsid w:val="0081232B"/>
    <w:rsid w:val="008134B2"/>
    <w:rsid w:val="008135C8"/>
    <w:rsid w:val="00813669"/>
    <w:rsid w:val="00813D6A"/>
    <w:rsid w:val="00813E00"/>
    <w:rsid w:val="00814BD5"/>
    <w:rsid w:val="008151B9"/>
    <w:rsid w:val="008151D9"/>
    <w:rsid w:val="00815868"/>
    <w:rsid w:val="00815D2E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3FC3"/>
    <w:rsid w:val="0082478C"/>
    <w:rsid w:val="00824844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5DD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901"/>
    <w:rsid w:val="00863A77"/>
    <w:rsid w:val="00863E2B"/>
    <w:rsid w:val="00864A89"/>
    <w:rsid w:val="00864B5D"/>
    <w:rsid w:val="00864C6C"/>
    <w:rsid w:val="00864CBB"/>
    <w:rsid w:val="008653D7"/>
    <w:rsid w:val="008656F8"/>
    <w:rsid w:val="008660F4"/>
    <w:rsid w:val="00866426"/>
    <w:rsid w:val="00866B53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5D5B"/>
    <w:rsid w:val="00876ADF"/>
    <w:rsid w:val="00876D6B"/>
    <w:rsid w:val="00876FE4"/>
    <w:rsid w:val="00877AD5"/>
    <w:rsid w:val="00877C8B"/>
    <w:rsid w:val="00881322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53E"/>
    <w:rsid w:val="0089067E"/>
    <w:rsid w:val="0089084A"/>
    <w:rsid w:val="008909CA"/>
    <w:rsid w:val="00890A08"/>
    <w:rsid w:val="00890ED6"/>
    <w:rsid w:val="00891846"/>
    <w:rsid w:val="00891B43"/>
    <w:rsid w:val="00892D8B"/>
    <w:rsid w:val="008933F4"/>
    <w:rsid w:val="00893C0E"/>
    <w:rsid w:val="00894AA3"/>
    <w:rsid w:val="00895721"/>
    <w:rsid w:val="0089591A"/>
    <w:rsid w:val="00895E1E"/>
    <w:rsid w:val="0089729B"/>
    <w:rsid w:val="00897448"/>
    <w:rsid w:val="008A04C9"/>
    <w:rsid w:val="008A05B8"/>
    <w:rsid w:val="008A08EA"/>
    <w:rsid w:val="008A2393"/>
    <w:rsid w:val="008A24C7"/>
    <w:rsid w:val="008A27A5"/>
    <w:rsid w:val="008A2876"/>
    <w:rsid w:val="008A2925"/>
    <w:rsid w:val="008A29F1"/>
    <w:rsid w:val="008A2DB8"/>
    <w:rsid w:val="008A3280"/>
    <w:rsid w:val="008A3731"/>
    <w:rsid w:val="008A3DB4"/>
    <w:rsid w:val="008A5A2F"/>
    <w:rsid w:val="008A698F"/>
    <w:rsid w:val="008B08FF"/>
    <w:rsid w:val="008B0BDE"/>
    <w:rsid w:val="008B12BF"/>
    <w:rsid w:val="008B1F8F"/>
    <w:rsid w:val="008B230D"/>
    <w:rsid w:val="008B2D1B"/>
    <w:rsid w:val="008B3222"/>
    <w:rsid w:val="008B3351"/>
    <w:rsid w:val="008B3AF9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34F8"/>
    <w:rsid w:val="0090421A"/>
    <w:rsid w:val="00905360"/>
    <w:rsid w:val="009055E4"/>
    <w:rsid w:val="00905612"/>
    <w:rsid w:val="00905D3F"/>
    <w:rsid w:val="00905DFC"/>
    <w:rsid w:val="00906875"/>
    <w:rsid w:val="009069B3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140"/>
    <w:rsid w:val="00914673"/>
    <w:rsid w:val="00914934"/>
    <w:rsid w:val="00914E34"/>
    <w:rsid w:val="00914F9F"/>
    <w:rsid w:val="00915494"/>
    <w:rsid w:val="009165B9"/>
    <w:rsid w:val="00916BBB"/>
    <w:rsid w:val="00917018"/>
    <w:rsid w:val="00917F86"/>
    <w:rsid w:val="0092057E"/>
    <w:rsid w:val="00920616"/>
    <w:rsid w:val="00920665"/>
    <w:rsid w:val="0092102A"/>
    <w:rsid w:val="0092211C"/>
    <w:rsid w:val="00922CC5"/>
    <w:rsid w:val="00922F38"/>
    <w:rsid w:val="00924747"/>
    <w:rsid w:val="00924A32"/>
    <w:rsid w:val="00924B25"/>
    <w:rsid w:val="009253FF"/>
    <w:rsid w:val="009273F7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28C"/>
    <w:rsid w:val="00933E40"/>
    <w:rsid w:val="0093431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9B3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25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E6A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2C2D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AAD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B79A1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C77"/>
    <w:rsid w:val="009D4E60"/>
    <w:rsid w:val="009D5061"/>
    <w:rsid w:val="009D5235"/>
    <w:rsid w:val="009D5252"/>
    <w:rsid w:val="009D5A35"/>
    <w:rsid w:val="009D6A02"/>
    <w:rsid w:val="009D72C5"/>
    <w:rsid w:val="009D739B"/>
    <w:rsid w:val="009D768F"/>
    <w:rsid w:val="009D7FE4"/>
    <w:rsid w:val="009E0A8B"/>
    <w:rsid w:val="009E0B8D"/>
    <w:rsid w:val="009E1B32"/>
    <w:rsid w:val="009E2478"/>
    <w:rsid w:val="009E2AE1"/>
    <w:rsid w:val="009E3297"/>
    <w:rsid w:val="009E33A6"/>
    <w:rsid w:val="009E36B0"/>
    <w:rsid w:val="009E3CDD"/>
    <w:rsid w:val="009E5640"/>
    <w:rsid w:val="009E6660"/>
    <w:rsid w:val="009E6784"/>
    <w:rsid w:val="009F0767"/>
    <w:rsid w:val="009F0805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3D0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3A30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D1F"/>
    <w:rsid w:val="00A20EDF"/>
    <w:rsid w:val="00A21903"/>
    <w:rsid w:val="00A22C0B"/>
    <w:rsid w:val="00A22CF2"/>
    <w:rsid w:val="00A23430"/>
    <w:rsid w:val="00A23AAB"/>
    <w:rsid w:val="00A23E78"/>
    <w:rsid w:val="00A244F0"/>
    <w:rsid w:val="00A25053"/>
    <w:rsid w:val="00A2514E"/>
    <w:rsid w:val="00A256C8"/>
    <w:rsid w:val="00A2580B"/>
    <w:rsid w:val="00A26ACD"/>
    <w:rsid w:val="00A277BF"/>
    <w:rsid w:val="00A27B4C"/>
    <w:rsid w:val="00A27E0E"/>
    <w:rsid w:val="00A27FF8"/>
    <w:rsid w:val="00A3075D"/>
    <w:rsid w:val="00A31C23"/>
    <w:rsid w:val="00A31D94"/>
    <w:rsid w:val="00A31F3F"/>
    <w:rsid w:val="00A32F5D"/>
    <w:rsid w:val="00A331AC"/>
    <w:rsid w:val="00A3325B"/>
    <w:rsid w:val="00A33E3F"/>
    <w:rsid w:val="00A34462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58A9"/>
    <w:rsid w:val="00A47B29"/>
    <w:rsid w:val="00A47E70"/>
    <w:rsid w:val="00A5034D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479"/>
    <w:rsid w:val="00A65522"/>
    <w:rsid w:val="00A65910"/>
    <w:rsid w:val="00A6596D"/>
    <w:rsid w:val="00A65C34"/>
    <w:rsid w:val="00A667C2"/>
    <w:rsid w:val="00A66CCF"/>
    <w:rsid w:val="00A675CB"/>
    <w:rsid w:val="00A67722"/>
    <w:rsid w:val="00A67C1C"/>
    <w:rsid w:val="00A7006D"/>
    <w:rsid w:val="00A70CAA"/>
    <w:rsid w:val="00A70FC0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089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0D17"/>
    <w:rsid w:val="00AB0EB8"/>
    <w:rsid w:val="00AB1A31"/>
    <w:rsid w:val="00AB1DC9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CD7"/>
    <w:rsid w:val="00AC3007"/>
    <w:rsid w:val="00AC3513"/>
    <w:rsid w:val="00AC3F5B"/>
    <w:rsid w:val="00AC43FD"/>
    <w:rsid w:val="00AC4452"/>
    <w:rsid w:val="00AC49B0"/>
    <w:rsid w:val="00AC5F48"/>
    <w:rsid w:val="00AC73D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59F"/>
    <w:rsid w:val="00AF07DE"/>
    <w:rsid w:val="00AF135B"/>
    <w:rsid w:val="00AF1FAF"/>
    <w:rsid w:val="00AF401A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6A4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47F"/>
    <w:rsid w:val="00B13859"/>
    <w:rsid w:val="00B13BFD"/>
    <w:rsid w:val="00B148C8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42D"/>
    <w:rsid w:val="00B336EB"/>
    <w:rsid w:val="00B33A56"/>
    <w:rsid w:val="00B33ADA"/>
    <w:rsid w:val="00B33EFD"/>
    <w:rsid w:val="00B33F1D"/>
    <w:rsid w:val="00B34071"/>
    <w:rsid w:val="00B3414D"/>
    <w:rsid w:val="00B342DA"/>
    <w:rsid w:val="00B34A42"/>
    <w:rsid w:val="00B35334"/>
    <w:rsid w:val="00B35CD0"/>
    <w:rsid w:val="00B36C7C"/>
    <w:rsid w:val="00B37488"/>
    <w:rsid w:val="00B37CFD"/>
    <w:rsid w:val="00B40474"/>
    <w:rsid w:val="00B40C58"/>
    <w:rsid w:val="00B41320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6D8"/>
    <w:rsid w:val="00B67776"/>
    <w:rsid w:val="00B67A26"/>
    <w:rsid w:val="00B701DA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3E1"/>
    <w:rsid w:val="00B8042E"/>
    <w:rsid w:val="00B805CB"/>
    <w:rsid w:val="00B80972"/>
    <w:rsid w:val="00B81D26"/>
    <w:rsid w:val="00B81D8D"/>
    <w:rsid w:val="00B82348"/>
    <w:rsid w:val="00B83296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69A7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29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425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D2F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43CC"/>
    <w:rsid w:val="00BF53F9"/>
    <w:rsid w:val="00BF5A9B"/>
    <w:rsid w:val="00BF5BE2"/>
    <w:rsid w:val="00BF5DCE"/>
    <w:rsid w:val="00BF730E"/>
    <w:rsid w:val="00BF7D32"/>
    <w:rsid w:val="00C000E5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1FA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172B0"/>
    <w:rsid w:val="00C172F7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3EE7"/>
    <w:rsid w:val="00C24266"/>
    <w:rsid w:val="00C2428F"/>
    <w:rsid w:val="00C24F55"/>
    <w:rsid w:val="00C251A0"/>
    <w:rsid w:val="00C26595"/>
    <w:rsid w:val="00C2680C"/>
    <w:rsid w:val="00C3077F"/>
    <w:rsid w:val="00C3078F"/>
    <w:rsid w:val="00C31191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BAB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5FB3"/>
    <w:rsid w:val="00C762B4"/>
    <w:rsid w:val="00C76352"/>
    <w:rsid w:val="00C76676"/>
    <w:rsid w:val="00C76797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718"/>
    <w:rsid w:val="00C867CF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0C91"/>
    <w:rsid w:val="00CA1AB9"/>
    <w:rsid w:val="00CA1E1A"/>
    <w:rsid w:val="00CA2339"/>
    <w:rsid w:val="00CA236B"/>
    <w:rsid w:val="00CA2EA4"/>
    <w:rsid w:val="00CA2F11"/>
    <w:rsid w:val="00CA36CF"/>
    <w:rsid w:val="00CA4282"/>
    <w:rsid w:val="00CA4383"/>
    <w:rsid w:val="00CA47C2"/>
    <w:rsid w:val="00CA4A6B"/>
    <w:rsid w:val="00CB0289"/>
    <w:rsid w:val="00CB0400"/>
    <w:rsid w:val="00CB0416"/>
    <w:rsid w:val="00CB0877"/>
    <w:rsid w:val="00CB1943"/>
    <w:rsid w:val="00CB20E9"/>
    <w:rsid w:val="00CB21AA"/>
    <w:rsid w:val="00CB25EF"/>
    <w:rsid w:val="00CB296D"/>
    <w:rsid w:val="00CB2981"/>
    <w:rsid w:val="00CB2D8A"/>
    <w:rsid w:val="00CB356B"/>
    <w:rsid w:val="00CB36C6"/>
    <w:rsid w:val="00CB3906"/>
    <w:rsid w:val="00CB66DF"/>
    <w:rsid w:val="00CB7EF4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684"/>
    <w:rsid w:val="00CD182F"/>
    <w:rsid w:val="00CD1848"/>
    <w:rsid w:val="00CD1E45"/>
    <w:rsid w:val="00CD242A"/>
    <w:rsid w:val="00CD2658"/>
    <w:rsid w:val="00CD2940"/>
    <w:rsid w:val="00CD54BF"/>
    <w:rsid w:val="00CD5BB5"/>
    <w:rsid w:val="00CD5D14"/>
    <w:rsid w:val="00CD5E10"/>
    <w:rsid w:val="00CD6564"/>
    <w:rsid w:val="00CD7B28"/>
    <w:rsid w:val="00CE0305"/>
    <w:rsid w:val="00CE3388"/>
    <w:rsid w:val="00CE3CCD"/>
    <w:rsid w:val="00CE3F38"/>
    <w:rsid w:val="00CE43D6"/>
    <w:rsid w:val="00CE4F9C"/>
    <w:rsid w:val="00CE51F1"/>
    <w:rsid w:val="00CE561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9FD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6DF9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3E9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1D52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07B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4D40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0662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084D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315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87B11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45AA"/>
    <w:rsid w:val="00D955E8"/>
    <w:rsid w:val="00D95894"/>
    <w:rsid w:val="00D95B55"/>
    <w:rsid w:val="00D96900"/>
    <w:rsid w:val="00D96BF4"/>
    <w:rsid w:val="00D9722C"/>
    <w:rsid w:val="00D97268"/>
    <w:rsid w:val="00D973B0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26A2"/>
    <w:rsid w:val="00DA3044"/>
    <w:rsid w:val="00DA3561"/>
    <w:rsid w:val="00DA39B0"/>
    <w:rsid w:val="00DA4568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055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BE3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3EC9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7EB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1667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13C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23BB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161C"/>
    <w:rsid w:val="00E625C7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4827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8BA"/>
    <w:rsid w:val="00E96CD1"/>
    <w:rsid w:val="00E96E05"/>
    <w:rsid w:val="00E9799C"/>
    <w:rsid w:val="00EA0DAE"/>
    <w:rsid w:val="00EA12FB"/>
    <w:rsid w:val="00EA1399"/>
    <w:rsid w:val="00EA1B31"/>
    <w:rsid w:val="00EA2056"/>
    <w:rsid w:val="00EA2277"/>
    <w:rsid w:val="00EA23A6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5DB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2992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EF7DA8"/>
    <w:rsid w:val="00F0049D"/>
    <w:rsid w:val="00F016D4"/>
    <w:rsid w:val="00F01F38"/>
    <w:rsid w:val="00F02889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2773"/>
    <w:rsid w:val="00F132F5"/>
    <w:rsid w:val="00F13C7F"/>
    <w:rsid w:val="00F14740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2944"/>
    <w:rsid w:val="00F236E6"/>
    <w:rsid w:val="00F24283"/>
    <w:rsid w:val="00F2463B"/>
    <w:rsid w:val="00F2478B"/>
    <w:rsid w:val="00F25854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3A08"/>
    <w:rsid w:val="00F340CF"/>
    <w:rsid w:val="00F341B4"/>
    <w:rsid w:val="00F34766"/>
    <w:rsid w:val="00F34C02"/>
    <w:rsid w:val="00F34F6C"/>
    <w:rsid w:val="00F34FA5"/>
    <w:rsid w:val="00F35402"/>
    <w:rsid w:val="00F359C9"/>
    <w:rsid w:val="00F35A13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3183"/>
    <w:rsid w:val="00F44DCD"/>
    <w:rsid w:val="00F46008"/>
    <w:rsid w:val="00F4624C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57A55"/>
    <w:rsid w:val="00F6065E"/>
    <w:rsid w:val="00F615E0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06"/>
    <w:rsid w:val="00F81F1D"/>
    <w:rsid w:val="00F8255C"/>
    <w:rsid w:val="00F82EF3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AE0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5EC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9E0"/>
    <w:rsid w:val="00FE2FF9"/>
    <w:rsid w:val="00FE3225"/>
    <w:rsid w:val="00FE39CC"/>
    <w:rsid w:val="00FE458F"/>
    <w:rsid w:val="00FE49EC"/>
    <w:rsid w:val="00FE4D4F"/>
    <w:rsid w:val="00FE5F96"/>
    <w:rsid w:val="00FE681B"/>
    <w:rsid w:val="00FE6A68"/>
    <w:rsid w:val="00FE7C27"/>
    <w:rsid w:val="00FF15A1"/>
    <w:rsid w:val="00FF1987"/>
    <w:rsid w:val="00FF1F0C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276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qFormat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qFormat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qFormat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qFormat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paragraph" w:customStyle="1" w:styleId="Agreement">
    <w:name w:val="Agreement"/>
    <w:basedOn w:val="Normal"/>
    <w:qFormat/>
    <w:rsid w:val="00081385"/>
    <w:pPr>
      <w:tabs>
        <w:tab w:val="num" w:pos="1619"/>
      </w:tabs>
      <w:spacing w:before="60" w:after="0"/>
      <w:ind w:left="1619" w:hanging="360"/>
    </w:pPr>
    <w:rPr>
      <w:rFonts w:ascii="Arial" w:eastAsiaTheme="minorEastAsia" w:hAnsi="Arial" w:cs="Arial"/>
      <w:b/>
      <w:bCs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33A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521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71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1747</TotalTime>
  <Pages>3</Pages>
  <Words>1567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280</cp:revision>
  <dcterms:created xsi:type="dcterms:W3CDTF">2017-04-13T02:23:00Z</dcterms:created>
  <dcterms:modified xsi:type="dcterms:W3CDTF">2022-09-30T05:42:00Z</dcterms:modified>
</cp:coreProperties>
</file>